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8F6A41" w:rsidRPr="00F9397A" w:rsidRDefault="008F6A41" w:rsidP="008F6A41">
      <w:pPr>
        <w:jc w:val="both"/>
        <w:rPr>
          <w:rFonts w:ascii="Garamond" w:eastAsia="Microsoft YaHei UI" w:hAnsi="Garamond" w:cs="DilleniaUPC"/>
          <w:b/>
          <w:sz w:val="22"/>
          <w:szCs w:val="22"/>
        </w:rPr>
      </w:pPr>
      <w:bookmarkStart w:id="6" w:name="OLE_LINK9"/>
      <w:bookmarkEnd w:id="4"/>
      <w:bookmarkEnd w:id="5"/>
      <w:bookmarkEnd w:id="3"/>
      <w:bookmarkEnd w:id="1"/>
      <w:bookmarkEnd w:id="0"/>
      <w:r w:rsidRPr="00730E13">
        <w:rPr>
          <w:rFonts w:ascii="Garamond" w:eastAsia="Microsoft YaHei UI" w:hAnsi="Garamond" w:cs="DilleniaUPC"/>
          <w:b/>
          <w:sz w:val="22"/>
          <w:szCs w:val="22"/>
        </w:rPr>
        <w:t xml:space="preserve">PROCEDURA </w:t>
      </w:r>
      <w:bookmarkStart w:id="7" w:name="_Hlk11948210"/>
      <w:r w:rsidRPr="00730E13">
        <w:rPr>
          <w:rFonts w:ascii="Garamond" w:eastAsia="Microsoft YaHei UI" w:hAnsi="Garamond" w:cs="DilleniaUPC"/>
          <w:b/>
          <w:sz w:val="22"/>
          <w:szCs w:val="22"/>
        </w:rPr>
        <w:t xml:space="preserve">APERTA AI SENSI </w:t>
      </w:r>
      <w:r>
        <w:rPr>
          <w:rFonts w:ascii="Garamond" w:eastAsia="Microsoft YaHei UI" w:hAnsi="Garamond" w:cs="DilleniaUPC"/>
          <w:b/>
          <w:sz w:val="22"/>
          <w:szCs w:val="22"/>
        </w:rPr>
        <w:t xml:space="preserve">DELL’ART. 60 E 36, COMMA 9, </w:t>
      </w:r>
      <w:r w:rsidRPr="00730E13">
        <w:rPr>
          <w:rFonts w:ascii="Garamond" w:eastAsia="Microsoft YaHei UI" w:hAnsi="Garamond" w:cs="DilleniaUPC"/>
          <w:b/>
          <w:sz w:val="22"/>
          <w:szCs w:val="22"/>
        </w:rPr>
        <w:t xml:space="preserve">DEL D.LGS 50/2016 PER L’AFFIDAMENTO DEI LAVORI DI </w:t>
      </w:r>
      <w:r>
        <w:rPr>
          <w:rFonts w:ascii="Garamond" w:eastAsia="Microsoft YaHei UI" w:hAnsi="Garamond" w:cs="DilleniaUPC"/>
          <w:b/>
          <w:sz w:val="22"/>
          <w:szCs w:val="22"/>
        </w:rPr>
        <w:t>RISTRUTTURAZIONE E MESSA IN SICUREZZA</w:t>
      </w:r>
      <w:r w:rsidRPr="00F9397A">
        <w:rPr>
          <w:rFonts w:ascii="Garamond" w:eastAsia="Microsoft YaHei UI" w:hAnsi="Garamond" w:cs="DilleniaUPC"/>
          <w:b/>
          <w:sz w:val="22"/>
          <w:szCs w:val="22"/>
        </w:rPr>
        <w:t xml:space="preserve"> DELLA SCUOLA SECONDARIA </w:t>
      </w:r>
      <w:r>
        <w:rPr>
          <w:rFonts w:ascii="Garamond" w:eastAsia="Microsoft YaHei UI" w:hAnsi="Garamond" w:cs="DilleniaUPC"/>
          <w:b/>
          <w:sz w:val="22"/>
          <w:szCs w:val="22"/>
        </w:rPr>
        <w:t>“</w:t>
      </w:r>
      <w:r w:rsidRPr="00F9397A">
        <w:rPr>
          <w:rFonts w:ascii="Garamond" w:eastAsia="Microsoft YaHei UI" w:hAnsi="Garamond" w:cs="DilleniaUPC"/>
          <w:b/>
          <w:sz w:val="22"/>
          <w:szCs w:val="22"/>
        </w:rPr>
        <w:t>G.</w:t>
      </w:r>
      <w:r>
        <w:rPr>
          <w:rFonts w:ascii="Garamond" w:eastAsia="Microsoft YaHei UI" w:hAnsi="Garamond" w:cs="DilleniaUPC"/>
          <w:b/>
          <w:sz w:val="22"/>
          <w:szCs w:val="22"/>
        </w:rPr>
        <w:t xml:space="preserve"> </w:t>
      </w:r>
      <w:r w:rsidRPr="00F9397A">
        <w:rPr>
          <w:rFonts w:ascii="Garamond" w:eastAsia="Microsoft YaHei UI" w:hAnsi="Garamond" w:cs="DilleniaUPC"/>
          <w:b/>
          <w:sz w:val="22"/>
          <w:szCs w:val="22"/>
        </w:rPr>
        <w:t>GALILEI</w:t>
      </w:r>
      <w:r>
        <w:rPr>
          <w:rFonts w:ascii="Garamond" w:eastAsia="Microsoft YaHei UI" w:hAnsi="Garamond" w:cs="DilleniaUPC"/>
          <w:b/>
          <w:sz w:val="22"/>
          <w:szCs w:val="22"/>
        </w:rPr>
        <w:t>”</w:t>
      </w:r>
      <w:r w:rsidRPr="00F9397A">
        <w:rPr>
          <w:rFonts w:ascii="Garamond" w:eastAsia="Microsoft YaHei UI" w:hAnsi="Garamond" w:cs="DilleniaUPC"/>
          <w:b/>
          <w:sz w:val="22"/>
          <w:szCs w:val="22"/>
        </w:rPr>
        <w:t xml:space="preserve"> </w:t>
      </w:r>
      <w:r>
        <w:rPr>
          <w:rFonts w:ascii="Garamond" w:eastAsia="Microsoft YaHei UI" w:hAnsi="Garamond" w:cs="DilleniaUPC"/>
          <w:b/>
          <w:sz w:val="22"/>
          <w:szCs w:val="22"/>
        </w:rPr>
        <w:t xml:space="preserve">SITA </w:t>
      </w:r>
      <w:r w:rsidRPr="00F9397A">
        <w:rPr>
          <w:rFonts w:ascii="Garamond" w:eastAsia="Microsoft YaHei UI" w:hAnsi="Garamond" w:cs="DilleniaUPC"/>
          <w:b/>
          <w:sz w:val="22"/>
          <w:szCs w:val="22"/>
        </w:rPr>
        <w:t xml:space="preserve">IN VIA DEL CRISTO 12 A CAVRIAGO </w:t>
      </w:r>
      <w:bookmarkEnd w:id="7"/>
      <w:r w:rsidRPr="00F9397A">
        <w:rPr>
          <w:rFonts w:ascii="Garamond" w:eastAsia="Microsoft YaHei UI" w:hAnsi="Garamond" w:cs="DilleniaUPC"/>
          <w:b/>
          <w:sz w:val="22"/>
          <w:szCs w:val="22"/>
        </w:rPr>
        <w:t>(RE)</w:t>
      </w:r>
      <w:r>
        <w:rPr>
          <w:rFonts w:ascii="Garamond" w:eastAsia="Microsoft YaHei UI" w:hAnsi="Garamond" w:cs="DilleniaUPC"/>
          <w:b/>
          <w:sz w:val="22"/>
          <w:szCs w:val="22"/>
        </w:rPr>
        <w:t xml:space="preserve"> – II^ STRALCIO.</w:t>
      </w:r>
    </w:p>
    <w:bookmarkEnd w:id="6"/>
    <w:p w:rsidR="008F6A41" w:rsidRPr="00730E13" w:rsidRDefault="008F6A41" w:rsidP="008F6A41">
      <w:pPr>
        <w:autoSpaceDE w:val="0"/>
        <w:jc w:val="both"/>
        <w:rPr>
          <w:rFonts w:ascii="Garamond" w:eastAsia="Microsoft YaHei UI" w:hAnsi="Garamond" w:cs="DilleniaUPC"/>
          <w:sz w:val="22"/>
          <w:szCs w:val="22"/>
        </w:rPr>
      </w:pPr>
    </w:p>
    <w:p w:rsidR="008F6A41" w:rsidRPr="008F6A41" w:rsidRDefault="008F6A41" w:rsidP="008F6A41">
      <w:pPr>
        <w:jc w:val="center"/>
        <w:rPr>
          <w:rFonts w:ascii="Garamond" w:eastAsia="Microsoft YaHei UI" w:hAnsi="Garamond" w:cs="DilleniaUPC"/>
          <w:b/>
          <w:sz w:val="22"/>
          <w:szCs w:val="22"/>
        </w:rPr>
      </w:pPr>
      <w:r w:rsidRPr="008F6A41">
        <w:rPr>
          <w:rFonts w:ascii="Garamond" w:eastAsia="Microsoft YaHei UI" w:hAnsi="Garamond" w:cs="DilleniaUPC"/>
          <w:b/>
          <w:sz w:val="22"/>
          <w:szCs w:val="22"/>
        </w:rPr>
        <w:t>CIG 8226461260 - CUP  J11F19000440006</w:t>
      </w:r>
    </w:p>
    <w:p w:rsidR="000C7FA7" w:rsidRPr="00630C98" w:rsidRDefault="000C7FA7" w:rsidP="008F6A41">
      <w:pPr>
        <w:jc w:val="center"/>
        <w:rPr>
          <w:rFonts w:ascii="Garamond" w:eastAsia="Microsoft YaHei UI" w:hAnsi="Garamond" w:cs="DilleniaUPC"/>
          <w:b/>
          <w:sz w:val="22"/>
          <w:szCs w:val="22"/>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Tel</w:t>
      </w:r>
      <w:proofErr w:type="spellEnd"/>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PARTE III DEL DGUE – Motivi di esclusione (Art. 80 del D. </w:t>
      </w:r>
      <w:proofErr w:type="spellStart"/>
      <w:r w:rsidRPr="00034030">
        <w:rPr>
          <w:rFonts w:asciiTheme="majorHAnsi" w:eastAsia="Tahoma" w:hAnsiTheme="majorHAnsi" w:cstheme="majorHAnsi"/>
          <w:b/>
          <w:szCs w:val="24"/>
        </w:rPr>
        <w:t>Lgs</w:t>
      </w:r>
      <w:proofErr w:type="spellEnd"/>
      <w:r w:rsidRPr="00034030">
        <w:rPr>
          <w:rFonts w:asciiTheme="majorHAnsi" w:eastAsia="Tahoma" w:hAnsiTheme="majorHAnsi" w:cstheme="majorHAnsi"/>
          <w:b/>
          <w:szCs w:val="24"/>
        </w:rPr>
        <w:t>.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w:t>
      </w:r>
      <w:proofErr w:type="spellStart"/>
      <w:r w:rsidRPr="00F07C04">
        <w:rPr>
          <w:rFonts w:asciiTheme="majorHAnsi" w:eastAsia="Tahoma" w:hAnsiTheme="majorHAnsi" w:cstheme="majorHAnsi"/>
          <w:b/>
          <w:bCs/>
          <w:szCs w:val="24"/>
        </w:rPr>
        <w:t>let</w:t>
      </w:r>
      <w:proofErr w:type="spellEnd"/>
      <w:r w:rsidRPr="00F07C04">
        <w:rPr>
          <w:rFonts w:asciiTheme="majorHAnsi" w:eastAsia="Tahoma" w:hAnsiTheme="majorHAnsi" w:cstheme="majorHAnsi"/>
          <w:b/>
          <w:bCs/>
          <w:szCs w:val="24"/>
        </w:rPr>
        <w:t xml:space="preserve">.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9" w:name="_Hlk529258981"/>
      <w:r w:rsidR="00B50BEC" w:rsidRPr="00F07C04">
        <w:rPr>
          <w:rFonts w:asciiTheme="majorHAnsi" w:hAnsiTheme="majorHAnsi" w:cstheme="majorHAnsi"/>
          <w:b/>
          <w:bCs/>
          <w:szCs w:val="24"/>
        </w:rPr>
        <w:sym w:font="Symbol" w:char="F0F0"/>
      </w:r>
      <w:bookmarkEnd w:id="9"/>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w:t>
      </w:r>
      <w:r w:rsidR="00B50BEC">
        <w:rPr>
          <w:rFonts w:asciiTheme="majorHAnsi" w:eastAsia="Tahoma" w:hAnsiTheme="majorHAnsi" w:cstheme="majorHAnsi"/>
          <w:szCs w:val="24"/>
        </w:rPr>
        <w:lastRenderedPageBreak/>
        <w:t>_________________________________________________________________________</w:t>
      </w:r>
      <w:bookmarkEnd w:id="11"/>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5, </w:t>
      </w:r>
      <w:proofErr w:type="spellStart"/>
      <w:r w:rsidR="00580458">
        <w:rPr>
          <w:rFonts w:asciiTheme="majorHAnsi" w:eastAsia="Tahoma" w:hAnsiTheme="majorHAnsi" w:cstheme="majorHAnsi"/>
          <w:szCs w:val="24"/>
        </w:rPr>
        <w:t>lett</w:t>
      </w:r>
      <w:proofErr w:type="spellEnd"/>
      <w:r w:rsidR="00580458">
        <w:rPr>
          <w:rFonts w:asciiTheme="majorHAnsi" w:eastAsia="Tahoma" w:hAnsiTheme="majorHAnsi" w:cstheme="majorHAnsi"/>
          <w:szCs w:val="24"/>
        </w:rPr>
        <w:t>.</w:t>
      </w:r>
      <w:r w:rsidR="00F07C04">
        <w:rPr>
          <w:rFonts w:asciiTheme="majorHAnsi" w:eastAsia="Tahoma" w:hAnsiTheme="majorHAnsi" w:cstheme="majorHAnsi"/>
          <w:szCs w:val="24"/>
        </w:rPr>
        <w:t xml:space="preserve"> c-bis), c-ter), c-quater), </w:t>
      </w:r>
      <w:r w:rsidR="00F07C04" w:rsidRPr="00034030">
        <w:rPr>
          <w:rFonts w:asciiTheme="majorHAnsi" w:eastAsia="Tahoma" w:hAnsiTheme="majorHAnsi" w:cstheme="majorHAnsi"/>
          <w:szCs w:val="24"/>
        </w:rPr>
        <w:t>f-bis), f-ter),</w:t>
      </w:r>
      <w:r w:rsidR="00AA7060">
        <w:rPr>
          <w:rFonts w:asciiTheme="majorHAnsi" w:eastAsia="Tahoma" w:hAnsiTheme="majorHAnsi" w:cstheme="majorHAnsi"/>
          <w:szCs w:val="24"/>
        </w:rPr>
        <w:t xml:space="preserve"> ed</w:t>
      </w:r>
      <w:r w:rsidR="00F07C04" w:rsidRPr="00034030">
        <w:rPr>
          <w:rFonts w:asciiTheme="majorHAnsi" w:eastAsia="Tahoma" w:hAnsiTheme="majorHAnsi" w:cstheme="majorHAnsi"/>
          <w:szCs w:val="24"/>
        </w:rPr>
        <w:t xml:space="preserve"> l) del D. </w:t>
      </w:r>
      <w:proofErr w:type="spellStart"/>
      <w:r w:rsidR="00F07C04" w:rsidRPr="00034030">
        <w:rPr>
          <w:rFonts w:asciiTheme="majorHAnsi" w:eastAsia="Tahoma" w:hAnsiTheme="majorHAnsi" w:cstheme="majorHAnsi"/>
          <w:szCs w:val="24"/>
        </w:rPr>
        <w:t>Lgs</w:t>
      </w:r>
      <w:proofErr w:type="spellEnd"/>
      <w:r w:rsidR="00F07C04" w:rsidRPr="00034030">
        <w:rPr>
          <w:rFonts w:asciiTheme="majorHAnsi" w:eastAsia="Tahoma" w:hAnsiTheme="majorHAnsi" w:cstheme="majorHAnsi"/>
          <w:szCs w:val="24"/>
        </w:rPr>
        <w:t>.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580458"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580458">
        <w:rPr>
          <w:rFonts w:asciiTheme="majorHAnsi" w:eastAsia="Tahoma" w:hAnsiTheme="majorHAnsi" w:cstheme="majorHAnsi"/>
          <w:szCs w:val="24"/>
        </w:rPr>
        <w:t xml:space="preserve">L’operatore economico è stato vittima dei reati previsti e puniti dagli </w:t>
      </w:r>
      <w:hyperlink r:id="rId9" w:anchor="317" w:history="1">
        <w:r w:rsidR="004A5C0D" w:rsidRPr="00580458">
          <w:rPr>
            <w:rStyle w:val="Collegamentoipertestuale"/>
            <w:rFonts w:asciiTheme="majorHAnsi" w:eastAsia="Tahoma" w:hAnsiTheme="majorHAnsi" w:cstheme="majorHAnsi"/>
            <w:color w:val="auto"/>
            <w:szCs w:val="24"/>
            <w:u w:val="none"/>
          </w:rPr>
          <w:t>articoli 317</w:t>
        </w:r>
      </w:hyperlink>
      <w:r w:rsidR="004A5C0D" w:rsidRPr="00580458">
        <w:rPr>
          <w:rFonts w:asciiTheme="majorHAnsi" w:eastAsia="Tahoma" w:hAnsiTheme="majorHAnsi" w:cstheme="majorHAnsi"/>
          <w:szCs w:val="24"/>
        </w:rPr>
        <w:t xml:space="preserve"> e </w:t>
      </w:r>
      <w:hyperlink r:id="rId10" w:anchor="629" w:history="1">
        <w:r w:rsidR="004A5C0D" w:rsidRPr="00580458">
          <w:rPr>
            <w:rStyle w:val="Collegamentoipertestuale"/>
            <w:rFonts w:asciiTheme="majorHAnsi" w:eastAsia="Tahoma" w:hAnsiTheme="majorHAnsi" w:cstheme="majorHAnsi"/>
            <w:color w:val="auto"/>
            <w:szCs w:val="24"/>
            <w:u w:val="none"/>
          </w:rPr>
          <w:t>629 del codice penale</w:t>
        </w:r>
      </w:hyperlink>
      <w:r w:rsidR="004A5C0D" w:rsidRPr="0058045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CF6B4F" w:rsidRPr="00034030" w:rsidRDefault="004A5C0D" w:rsidP="00E55704">
      <w:pPr>
        <w:pStyle w:val="Standard"/>
        <w:widowControl w:val="0"/>
        <w:tabs>
          <w:tab w:val="left" w:pos="-31226"/>
          <w:tab w:val="left" w:pos="1140"/>
        </w:tabs>
        <w:ind w:left="708" w:hanging="2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E55704">
        <w:rPr>
          <w:rFonts w:asciiTheme="majorHAnsi" w:eastAsia="Tahoma" w:hAnsiTheme="majorHAnsi" w:cstheme="majorHAnsi"/>
          <w:b/>
          <w:szCs w:val="24"/>
        </w:rPr>
        <w:t>Tecnica e Organizzativa – Per la categoria prevalente OG</w:t>
      </w:r>
      <w:r w:rsidR="00C43201">
        <w:rPr>
          <w:rFonts w:asciiTheme="majorHAnsi" w:eastAsia="Tahoma" w:hAnsiTheme="majorHAnsi" w:cstheme="majorHAnsi"/>
          <w:b/>
          <w:szCs w:val="24"/>
        </w:rPr>
        <w:t>1</w:t>
      </w:r>
      <w:r w:rsidR="00E55704" w:rsidRPr="004C76E7">
        <w:rPr>
          <w:rFonts w:asciiTheme="majorHAnsi" w:eastAsia="Tahoma" w:hAnsiTheme="majorHAnsi" w:cstheme="majorHAnsi"/>
          <w:b/>
          <w:szCs w:val="24"/>
        </w:rPr>
        <w:t xml:space="preserve"> – </w:t>
      </w:r>
      <w:r w:rsidR="00C43201">
        <w:rPr>
          <w:rFonts w:asciiTheme="majorHAnsi" w:eastAsia="Tahoma" w:hAnsiTheme="majorHAnsi" w:cstheme="majorHAnsi"/>
          <w:b/>
          <w:szCs w:val="24"/>
        </w:rPr>
        <w:t>EDIFICI CIVILI E INDUSTRIALI</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F847F7" w:rsidRDefault="00E55704" w:rsidP="009545A3">
      <w:pPr>
        <w:pStyle w:val="Standard"/>
        <w:widowControl w:val="0"/>
        <w:numPr>
          <w:ilvl w:val="0"/>
          <w:numId w:val="3"/>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E55704" w:rsidRDefault="00E55704" w:rsidP="00E55704">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E55704">
        <w:rPr>
          <w:rFonts w:asciiTheme="majorHAnsi" w:eastAsia="Tahoma" w:hAnsiTheme="majorHAnsi" w:cstheme="majorHAnsi"/>
          <w:b/>
          <w:bCs/>
          <w:szCs w:val="24"/>
          <w:u w:val="single"/>
        </w:rPr>
        <w:t>OG</w:t>
      </w:r>
      <w:r w:rsidR="00C43201">
        <w:rPr>
          <w:rFonts w:asciiTheme="majorHAnsi" w:eastAsia="Tahoma" w:hAnsiTheme="majorHAnsi" w:cstheme="majorHAnsi"/>
          <w:b/>
          <w:bCs/>
          <w:szCs w:val="24"/>
          <w:u w:val="single"/>
        </w:rPr>
        <w:t>1</w:t>
      </w:r>
      <w:r>
        <w:rPr>
          <w:rFonts w:asciiTheme="majorHAnsi" w:eastAsia="Tahoma" w:hAnsiTheme="majorHAnsi" w:cstheme="majorHAnsi"/>
          <w:szCs w:val="24"/>
        </w:rPr>
        <w:t xml:space="preserve"> Classifica I</w:t>
      </w:r>
      <w:r w:rsidR="00C43201">
        <w:rPr>
          <w:rFonts w:asciiTheme="majorHAnsi" w:eastAsia="Tahoma" w:hAnsiTheme="majorHAnsi" w:cstheme="majorHAnsi"/>
          <w:szCs w:val="24"/>
        </w:rPr>
        <w:t>I</w:t>
      </w:r>
      <w:r w:rsidR="008F6A41">
        <w:rPr>
          <w:rFonts w:asciiTheme="majorHAnsi" w:eastAsia="Tahoma" w:hAnsiTheme="majorHAnsi" w:cstheme="majorHAnsi"/>
          <w:szCs w:val="24"/>
        </w:rPr>
        <w:t>I</w:t>
      </w:r>
      <w:r>
        <w:rPr>
          <w:rFonts w:asciiTheme="majorHAnsi" w:eastAsia="Tahoma" w:hAnsiTheme="majorHAnsi" w:cstheme="majorHAnsi"/>
          <w:szCs w:val="24"/>
        </w:rPr>
        <w:t xml:space="preserve">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rsidR="008F6A41" w:rsidRDefault="008F6A41" w:rsidP="008F6A41">
      <w:pPr>
        <w:pStyle w:val="Standard"/>
        <w:widowControl w:val="0"/>
        <w:tabs>
          <w:tab w:val="left" w:pos="-31226"/>
          <w:tab w:val="left" w:pos="1140"/>
        </w:tabs>
        <w:ind w:left="708" w:hanging="254"/>
        <w:jc w:val="both"/>
        <w:rPr>
          <w:rFonts w:asciiTheme="majorHAnsi" w:eastAsia="Tahoma" w:hAnsiTheme="majorHAnsi" w:cstheme="majorHAnsi"/>
          <w:b/>
          <w:szCs w:val="24"/>
        </w:rPr>
      </w:pPr>
      <w:r>
        <w:rPr>
          <w:rFonts w:asciiTheme="majorHAnsi" w:eastAsia="Tahoma" w:hAnsiTheme="majorHAnsi" w:cstheme="majorHAnsi"/>
          <w:b/>
          <w:szCs w:val="24"/>
        </w:rPr>
        <w:t>C</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e Organizzativa – Per la categoria prevalente </w:t>
      </w:r>
      <w:r w:rsidRPr="008F6A41">
        <w:rPr>
          <w:rFonts w:asciiTheme="majorHAnsi" w:eastAsia="Tahoma" w:hAnsiTheme="majorHAnsi" w:cstheme="majorHAnsi"/>
          <w:b/>
          <w:szCs w:val="24"/>
        </w:rPr>
        <w:t>OS-30 – IMPIANTI INTERNI ELETTRICI, TELEFONICI, RADIOTELEFONICI E TELEVISIVI</w:t>
      </w:r>
      <w:r>
        <w:rPr>
          <w:rFonts w:asciiTheme="majorHAnsi" w:eastAsia="Tahoma" w:hAnsiTheme="majorHAnsi" w:cstheme="majorHAnsi"/>
          <w:b/>
          <w:szCs w:val="24"/>
        </w:rPr>
        <w:t>:</w:t>
      </w:r>
    </w:p>
    <w:p w:rsidR="00DA20AF" w:rsidRDefault="00DA20AF"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rsidR="00DA20AF" w:rsidRDefault="00DA20AF" w:rsidP="00DA20AF">
      <w:pPr>
        <w:pStyle w:val="Standard"/>
        <w:widowControl w:val="0"/>
        <w:numPr>
          <w:ilvl w:val="0"/>
          <w:numId w:val="3"/>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DA20AF" w:rsidRDefault="00DA20AF" w:rsidP="00DA20AF">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8F6A41">
        <w:rPr>
          <w:rFonts w:asciiTheme="majorHAnsi" w:eastAsia="Tahoma" w:hAnsiTheme="majorHAnsi" w:cstheme="majorHAnsi"/>
          <w:b/>
          <w:szCs w:val="24"/>
        </w:rPr>
        <w:t xml:space="preserve">OS-30 </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DA20AF" w:rsidRDefault="00DA20AF" w:rsidP="00DA20AF">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rsidR="00DA20AF" w:rsidRDefault="00DA20AF" w:rsidP="00DA20AF">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rsidR="00DA20AF" w:rsidRDefault="00DA20AF" w:rsidP="00DA20AF">
      <w:pPr>
        <w:pStyle w:val="Standard"/>
        <w:widowControl w:val="0"/>
        <w:tabs>
          <w:tab w:val="left" w:pos="-14193"/>
          <w:tab w:val="left" w:pos="-13201"/>
        </w:tabs>
        <w:spacing w:line="276" w:lineRule="auto"/>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DA20AF" w:rsidRDefault="00DA20AF" w:rsidP="008F6A41">
      <w:pPr>
        <w:pStyle w:val="Standard"/>
        <w:widowControl w:val="0"/>
        <w:tabs>
          <w:tab w:val="left" w:pos="-31226"/>
          <w:tab w:val="left" w:pos="1140"/>
        </w:tabs>
        <w:ind w:left="708" w:hanging="254"/>
        <w:jc w:val="both"/>
        <w:rPr>
          <w:rFonts w:asciiTheme="majorHAnsi" w:eastAsia="Tahoma" w:hAnsiTheme="majorHAnsi" w:cstheme="majorHAnsi"/>
          <w:b/>
          <w:szCs w:val="24"/>
        </w:rPr>
      </w:pPr>
    </w:p>
    <w:p w:rsidR="00DA20AF" w:rsidRDefault="00DA20AF" w:rsidP="00DA20AF">
      <w:pPr>
        <w:pStyle w:val="Standard"/>
        <w:widowControl w:val="0"/>
        <w:tabs>
          <w:tab w:val="left" w:pos="-15780"/>
          <w:tab w:val="left" w:pos="-14788"/>
        </w:tabs>
        <w:spacing w:line="360" w:lineRule="auto"/>
        <w:ind w:left="993" w:hanging="284"/>
        <w:jc w:val="both"/>
        <w:rPr>
          <w:rFonts w:asciiTheme="majorHAnsi" w:eastAsia="Tahoma" w:hAnsiTheme="majorHAnsi" w:cstheme="majorHAnsi"/>
          <w:szCs w:val="24"/>
        </w:rPr>
      </w:pPr>
      <w:r w:rsidRPr="00DE5922">
        <w:rPr>
          <w:rFonts w:asciiTheme="majorHAnsi" w:hAnsiTheme="majorHAnsi" w:cstheme="majorHAnsi"/>
        </w:rPr>
        <w:t>a)</w:t>
      </w:r>
      <w:r w:rsidRPr="00DA20AF">
        <w:rPr>
          <w:rFonts w:asciiTheme="majorHAnsi" w:eastAsia="Tahoma" w:hAnsiTheme="majorHAnsi" w:cstheme="majorHAnsi"/>
          <w:szCs w:val="24"/>
        </w:rPr>
        <w:t xml:space="preserve"> </w:t>
      </w: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9</w:t>
      </w:r>
      <w:r w:rsidRPr="00034030">
        <w:rPr>
          <w:rFonts w:asciiTheme="majorHAnsi" w:eastAsia="Tahoma" w:hAnsiTheme="majorHAnsi" w:cstheme="majorHAnsi"/>
          <w:szCs w:val="24"/>
        </w:rPr>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sidRPr="00DA20AF">
        <w:rPr>
          <w:rFonts w:asciiTheme="majorHAnsi" w:eastAsia="Tahoma" w:hAnsiTheme="majorHAnsi" w:cstheme="majorHAnsi"/>
          <w:szCs w:val="24"/>
        </w:rPr>
        <w:t xml:space="preserve">nella categoria </w:t>
      </w:r>
      <w:r w:rsidRPr="00DA20AF">
        <w:rPr>
          <w:rFonts w:asciiTheme="majorHAnsi" w:eastAsia="Tahoma" w:hAnsiTheme="majorHAnsi" w:cstheme="majorHAnsi"/>
          <w:b/>
          <w:szCs w:val="24"/>
        </w:rPr>
        <w:t>OS-30 – IMPIANTI INTERNI ELETTRICI, TELEFONICI, RADIOTELEFONICI E TELEVISIVI</w:t>
      </w:r>
      <w:r w:rsidRPr="00DA20AF">
        <w:rPr>
          <w:rFonts w:asciiTheme="majorHAnsi" w:eastAsia="Tahoma" w:hAnsiTheme="majorHAnsi" w:cstheme="majorHAnsi"/>
          <w:szCs w:val="24"/>
        </w:rPr>
        <w:t xml:space="preserve"> </w:t>
      </w:r>
      <w:r>
        <w:rPr>
          <w:rFonts w:asciiTheme="majorHAnsi" w:eastAsia="Tahoma" w:hAnsiTheme="majorHAnsi" w:cstheme="majorHAnsi"/>
          <w:szCs w:val="24"/>
        </w:rPr>
        <w:t>per un importo non inferiore</w:t>
      </w:r>
      <w:r w:rsidRPr="00DA20AF">
        <w:rPr>
          <w:rFonts w:asciiTheme="majorHAnsi" w:eastAsia="Tahoma" w:hAnsiTheme="majorHAnsi" w:cstheme="majorHAnsi"/>
          <w:szCs w:val="24"/>
        </w:rPr>
        <w:t xml:space="preserve"> ad € 110.431,45;</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DA20AF" w:rsidRDefault="00DA20AF" w:rsidP="00DA20AF">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0AF" w:rsidRPr="00DA20AF" w:rsidRDefault="00DA20AF" w:rsidP="00DA20AF">
      <w:pPr>
        <w:pStyle w:val="Standard"/>
        <w:widowControl w:val="0"/>
        <w:tabs>
          <w:tab w:val="left" w:pos="-15780"/>
          <w:tab w:val="left" w:pos="-14788"/>
        </w:tabs>
        <w:spacing w:line="360" w:lineRule="auto"/>
        <w:ind w:left="993" w:hanging="284"/>
        <w:jc w:val="both"/>
        <w:rPr>
          <w:rFonts w:asciiTheme="majorHAnsi" w:eastAsia="Tahoma" w:hAnsiTheme="majorHAnsi" w:cstheme="majorHAnsi"/>
          <w:szCs w:val="24"/>
        </w:rPr>
      </w:pPr>
    </w:p>
    <w:p w:rsidR="00DE5922" w:rsidRPr="00034030" w:rsidRDefault="00DA20AF" w:rsidP="00DE5922">
      <w:pPr>
        <w:pStyle w:val="Standard"/>
        <w:widowControl w:val="0"/>
        <w:tabs>
          <w:tab w:val="left" w:pos="-14193"/>
          <w:tab w:val="left" w:pos="-13201"/>
          <w:tab w:val="left" w:pos="1560"/>
        </w:tabs>
        <w:spacing w:line="276" w:lineRule="auto"/>
        <w:ind w:left="709"/>
        <w:jc w:val="both"/>
        <w:rPr>
          <w:rFonts w:asciiTheme="majorHAnsi" w:hAnsiTheme="majorHAnsi" w:cstheme="majorHAnsi"/>
        </w:rPr>
      </w:pPr>
      <w:r w:rsidRPr="00DA20AF">
        <w:rPr>
          <w:rFonts w:asciiTheme="majorHAnsi" w:eastAsia="Tahoma" w:hAnsiTheme="majorHAnsi" w:cstheme="majorHAnsi"/>
          <w:szCs w:val="24"/>
        </w:rPr>
        <w:t xml:space="preserve">b) </w:t>
      </w:r>
      <w:r w:rsidR="00DE5922">
        <w:rPr>
          <w:rFonts w:asciiTheme="majorHAnsi" w:hAnsiTheme="majorHAnsi" w:cstheme="majorHAnsi"/>
        </w:rPr>
        <w:t xml:space="preserve">Aver </w:t>
      </w:r>
      <w:r w:rsidR="00DE5922"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sidR="00DE5922">
        <w:rPr>
          <w:rFonts w:asciiTheme="majorHAnsi" w:eastAsia="Tahoma" w:hAnsiTheme="majorHAnsi" w:cstheme="majorHAnsi"/>
          <w:szCs w:val="24"/>
        </w:rPr>
        <w:t>pubblicazione del bando di gara</w:t>
      </w:r>
      <w:r w:rsidR="00DE5922" w:rsidRPr="00034030">
        <w:rPr>
          <w:rFonts w:asciiTheme="majorHAnsi" w:eastAsia="Tahoma" w:hAnsiTheme="majorHAnsi" w:cstheme="majorHAnsi"/>
          <w:szCs w:val="24"/>
        </w:rPr>
        <w:t xml:space="preserve"> (</w:t>
      </w:r>
      <w:r w:rsidR="00DE5922">
        <w:rPr>
          <w:rFonts w:asciiTheme="majorHAnsi" w:eastAsia="Tahoma" w:hAnsiTheme="majorHAnsi" w:cstheme="majorHAnsi"/>
          <w:szCs w:val="24"/>
        </w:rPr>
        <w:t>2019/</w:t>
      </w:r>
      <w:r w:rsidR="00DE5922" w:rsidRPr="00034030">
        <w:rPr>
          <w:rFonts w:asciiTheme="majorHAnsi" w:eastAsia="Tahoma" w:hAnsiTheme="majorHAnsi" w:cstheme="majorHAnsi"/>
          <w:szCs w:val="24"/>
        </w:rPr>
        <w:t>201</w:t>
      </w:r>
      <w:r w:rsidR="00DE5922">
        <w:rPr>
          <w:rFonts w:asciiTheme="majorHAnsi" w:eastAsia="Tahoma" w:hAnsiTheme="majorHAnsi" w:cstheme="majorHAnsi"/>
          <w:szCs w:val="24"/>
        </w:rPr>
        <w:t>8</w:t>
      </w:r>
      <w:r w:rsidR="00DE5922" w:rsidRPr="00034030">
        <w:rPr>
          <w:rFonts w:asciiTheme="majorHAnsi" w:eastAsia="Tahoma" w:hAnsiTheme="majorHAnsi" w:cstheme="majorHAnsi"/>
          <w:szCs w:val="24"/>
        </w:rPr>
        <w:t>/201</w:t>
      </w:r>
      <w:r w:rsidR="00DE5922">
        <w:rPr>
          <w:rFonts w:asciiTheme="majorHAnsi" w:eastAsia="Tahoma" w:hAnsiTheme="majorHAnsi" w:cstheme="majorHAnsi"/>
          <w:szCs w:val="24"/>
        </w:rPr>
        <w:t>7</w:t>
      </w:r>
      <w:r w:rsidR="00DE5922" w:rsidRPr="00034030">
        <w:rPr>
          <w:rFonts w:asciiTheme="majorHAnsi" w:eastAsia="Tahoma" w:hAnsiTheme="majorHAnsi" w:cstheme="majorHAnsi"/>
          <w:szCs w:val="24"/>
        </w:rPr>
        <w:t>/201</w:t>
      </w:r>
      <w:r w:rsidR="00DE5922">
        <w:rPr>
          <w:rFonts w:asciiTheme="majorHAnsi" w:eastAsia="Tahoma" w:hAnsiTheme="majorHAnsi" w:cstheme="majorHAnsi"/>
          <w:szCs w:val="24"/>
        </w:rPr>
        <w:t>6</w:t>
      </w:r>
      <w:r w:rsidR="00DE5922" w:rsidRPr="00034030">
        <w:rPr>
          <w:rFonts w:asciiTheme="majorHAnsi" w:eastAsia="Tahoma" w:hAnsiTheme="majorHAnsi" w:cstheme="majorHAnsi"/>
          <w:szCs w:val="24"/>
        </w:rPr>
        <w:t>/201</w:t>
      </w:r>
      <w:r w:rsidR="00DE5922">
        <w:rPr>
          <w:rFonts w:asciiTheme="majorHAnsi" w:eastAsia="Tahoma" w:hAnsiTheme="majorHAnsi" w:cstheme="majorHAnsi"/>
          <w:szCs w:val="24"/>
        </w:rPr>
        <w:t>5</w:t>
      </w:r>
      <w:r w:rsidR="00DE5922" w:rsidRPr="00034030">
        <w:rPr>
          <w:rFonts w:asciiTheme="majorHAnsi" w:eastAsia="Tahoma" w:hAnsiTheme="majorHAnsi" w:cstheme="majorHAnsi"/>
          <w:szCs w:val="24"/>
        </w:rPr>
        <w:t xml:space="preserve">):         </w:t>
      </w:r>
      <w:r w:rsidR="00DE5922">
        <w:rPr>
          <w:rFonts w:asciiTheme="majorHAnsi" w:hAnsiTheme="majorHAnsi" w:cstheme="majorHAnsi"/>
          <w:szCs w:val="24"/>
        </w:rPr>
        <w:sym w:font="Symbol" w:char="F0F0"/>
      </w:r>
      <w:r w:rsidR="00DE5922" w:rsidRPr="00034030">
        <w:rPr>
          <w:rFonts w:asciiTheme="majorHAnsi" w:eastAsia="Tahoma" w:hAnsiTheme="majorHAnsi" w:cstheme="majorHAnsi"/>
          <w:szCs w:val="24"/>
        </w:rPr>
        <w:t xml:space="preserve">   SI                </w:t>
      </w:r>
      <w:r w:rsidR="00DE5922">
        <w:rPr>
          <w:rFonts w:asciiTheme="majorHAnsi" w:hAnsiTheme="majorHAnsi" w:cstheme="majorHAnsi"/>
          <w:szCs w:val="24"/>
        </w:rPr>
        <w:sym w:font="Symbol" w:char="F0F0"/>
      </w:r>
      <w:r w:rsidR="00DE5922" w:rsidRPr="00034030">
        <w:rPr>
          <w:rFonts w:asciiTheme="majorHAnsi" w:eastAsia="Tahoma" w:hAnsiTheme="majorHAnsi" w:cstheme="majorHAnsi"/>
          <w:szCs w:val="24"/>
        </w:rPr>
        <w:t xml:space="preserve">   NO</w:t>
      </w:r>
    </w:p>
    <w:p w:rsidR="00DE5922" w:rsidRDefault="00DE5922" w:rsidP="00DE5922">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DE5922" w:rsidRDefault="00DE5922" w:rsidP="00DE5922">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DE5922" w:rsidRPr="006B20B8" w:rsidRDefault="00DE5922" w:rsidP="00DE5922">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tecnica:</w:t>
      </w:r>
      <w:r>
        <w:rPr>
          <w:rFonts w:asciiTheme="majorHAnsi" w:eastAsia="Tahoma" w:hAnsiTheme="majorHAnsi" w:cstheme="majorHAnsi"/>
          <w:szCs w:val="24"/>
        </w:rPr>
        <w:t xml:space="preserve"> </w:t>
      </w:r>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DE5922" w:rsidRDefault="00DE5922" w:rsidP="00DE5922">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DE5922" w:rsidRDefault="00DE5922" w:rsidP="00DE5922">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DE5922" w:rsidRPr="00034030" w:rsidRDefault="00DE5922" w:rsidP="00DE5922">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w:t>
      </w:r>
      <w:r w:rsidR="00E34CFE">
        <w:rPr>
          <w:rFonts w:asciiTheme="majorHAnsi" w:hAnsiTheme="majorHAnsi" w:cstheme="majorHAnsi"/>
          <w:szCs w:val="24"/>
        </w:rPr>
        <w:t>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xml:space="preserve">.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2B538A" w:rsidRDefault="002B538A" w:rsidP="002B538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szCs w:val="24"/>
        </w:rPr>
        <w:t>che il sottoscritto, nonché tutti i dipendenti, collaboratori, della società/impresa si obbligano al rispetto delle disposizioni del codice di comportamento dei dipendenti del</w:t>
      </w:r>
      <w:r>
        <w:rPr>
          <w:rFonts w:asciiTheme="majorHAnsi" w:hAnsiTheme="majorHAnsi" w:cstheme="majorHAnsi"/>
          <w:szCs w:val="24"/>
        </w:rPr>
        <w:t xml:space="preserve">l’Azienda Speciale </w:t>
      </w:r>
      <w:proofErr w:type="spellStart"/>
      <w:r>
        <w:rPr>
          <w:rFonts w:asciiTheme="majorHAnsi" w:hAnsiTheme="majorHAnsi" w:cstheme="majorHAnsi"/>
          <w:szCs w:val="24"/>
        </w:rPr>
        <w:t>CavriagoServizi</w:t>
      </w:r>
      <w:proofErr w:type="spellEnd"/>
      <w:r>
        <w:rPr>
          <w:rFonts w:asciiTheme="majorHAnsi" w:hAnsiTheme="majorHAnsi" w:cstheme="majorHAnsi"/>
          <w:szCs w:val="24"/>
        </w:rPr>
        <w:t xml:space="preserve"> del</w:t>
      </w:r>
      <w:r w:rsidRPr="00034030">
        <w:rPr>
          <w:rFonts w:asciiTheme="majorHAnsi" w:hAnsiTheme="majorHAnsi" w:cstheme="majorHAnsi"/>
          <w:szCs w:val="24"/>
        </w:rPr>
        <w:t xml:space="preserve"> Comune di </w:t>
      </w:r>
      <w:r>
        <w:rPr>
          <w:rFonts w:asciiTheme="majorHAnsi" w:hAnsiTheme="majorHAnsi" w:cstheme="majorHAnsi"/>
          <w:szCs w:val="24"/>
        </w:rPr>
        <w:t>Cavriago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2B538A" w:rsidRPr="00034030" w:rsidRDefault="002B538A" w:rsidP="002B538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2B538A" w:rsidRDefault="002B538A" w:rsidP="008A4736">
      <w:pPr>
        <w:pStyle w:val="Standard"/>
        <w:widowControl w:val="0"/>
        <w:tabs>
          <w:tab w:val="left" w:pos="454"/>
          <w:tab w:val="left" w:pos="1446"/>
        </w:tabs>
        <w:ind w:left="454"/>
        <w:jc w:val="both"/>
        <w:rPr>
          <w:rFonts w:asciiTheme="majorHAnsi" w:hAnsiTheme="majorHAnsi" w:cstheme="majorHAnsi"/>
          <w:b/>
          <w:bCs/>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xml:space="preserve">] indica, ad integrazione di quanto indicato nella parte III, sez. C,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E55704" w:rsidRDefault="00630C98" w:rsidP="00E55704">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viii</w:t>
      </w:r>
      <w:r w:rsidR="00E55704" w:rsidRPr="00034030">
        <w:rPr>
          <w:rFonts w:asciiTheme="majorHAnsi" w:hAnsiTheme="majorHAnsi" w:cstheme="majorHAnsi"/>
          <w:bCs/>
        </w:rPr>
        <w:t>.</w:t>
      </w:r>
      <w:r w:rsidR="00E55704" w:rsidRPr="00034030">
        <w:rPr>
          <w:rFonts w:asciiTheme="majorHAnsi" w:hAnsiTheme="majorHAnsi" w:cstheme="majorHAnsi"/>
          <w:b/>
          <w:szCs w:val="24"/>
        </w:rPr>
        <w:t xml:space="preserve"> </w:t>
      </w:r>
      <w:r w:rsidR="00E55704">
        <w:rPr>
          <w:rFonts w:asciiTheme="majorHAnsi" w:eastAsia="Tahoma" w:hAnsiTheme="majorHAnsi" w:cstheme="majorHAnsi"/>
          <w:szCs w:val="24"/>
        </w:rPr>
        <w:sym w:font="Symbol" w:char="F05B"/>
      </w:r>
      <w:r w:rsidR="00E55704" w:rsidRPr="00975B4C">
        <w:rPr>
          <w:rFonts w:asciiTheme="majorHAnsi" w:eastAsia="Tahoma" w:hAnsiTheme="majorHAnsi" w:cstheme="majorHAnsi"/>
          <w:i/>
          <w:szCs w:val="24"/>
        </w:rPr>
        <w:t xml:space="preserve">solo </w:t>
      </w:r>
      <w:r w:rsidR="00E55704" w:rsidRPr="002F53CF">
        <w:rPr>
          <w:rFonts w:asciiTheme="majorHAnsi" w:eastAsia="Tahoma" w:hAnsiTheme="majorHAnsi" w:cstheme="majorHAnsi"/>
          <w:i/>
          <w:szCs w:val="24"/>
        </w:rPr>
        <w:t xml:space="preserve">per </w:t>
      </w:r>
      <w:r w:rsidR="00E55704">
        <w:rPr>
          <w:rFonts w:asciiTheme="majorHAnsi" w:eastAsia="Tahoma" w:hAnsiTheme="majorHAnsi" w:cstheme="majorHAnsi"/>
          <w:i/>
          <w:szCs w:val="24"/>
        </w:rPr>
        <w:t>il concorrente</w:t>
      </w:r>
      <w:r w:rsidR="00E55704">
        <w:rPr>
          <w:rFonts w:asciiTheme="majorHAnsi" w:eastAsia="Tahoma" w:hAnsiTheme="majorHAnsi" w:cstheme="majorHAnsi"/>
          <w:szCs w:val="24"/>
        </w:rPr>
        <w:sym w:font="Symbol" w:char="F05D"/>
      </w:r>
      <w:r w:rsidR="00E55704">
        <w:rPr>
          <w:rFonts w:asciiTheme="majorHAnsi" w:eastAsia="Tahoma" w:hAnsiTheme="majorHAnsi" w:cstheme="majorHAnsi"/>
          <w:szCs w:val="24"/>
        </w:rPr>
        <w:t xml:space="preserve"> </w:t>
      </w:r>
      <w:r w:rsidR="00E55704" w:rsidRPr="00034030">
        <w:rPr>
          <w:rFonts w:asciiTheme="majorHAnsi" w:hAnsiTheme="majorHAnsi" w:cstheme="majorHAnsi"/>
        </w:rPr>
        <w:t xml:space="preserve">di </w:t>
      </w:r>
      <w:r w:rsidR="00E55704" w:rsidRPr="00975B4C">
        <w:rPr>
          <w:rFonts w:asciiTheme="majorHAnsi" w:hAnsiTheme="majorHAnsi" w:cstheme="majorHAnsi"/>
        </w:rPr>
        <w:t xml:space="preserve">aver </w:t>
      </w:r>
      <w:r w:rsidR="00E55704" w:rsidRPr="00685269">
        <w:rPr>
          <w:rFonts w:asciiTheme="majorHAnsi" w:hAnsiTheme="majorHAnsi" w:cstheme="majorHAnsi"/>
        </w:rPr>
        <w:t>effettuato il sopralluogo obbligatorio</w:t>
      </w:r>
      <w:r w:rsidR="00E55704" w:rsidRPr="00975B4C">
        <w:rPr>
          <w:rFonts w:asciiTheme="majorHAnsi" w:hAnsiTheme="majorHAnsi" w:cstheme="majorHAnsi"/>
        </w:rPr>
        <w:t xml:space="preserve"> e di allegare la relativa attestazione rilasciata </w:t>
      </w:r>
      <w:r w:rsidR="002B538A">
        <w:rPr>
          <w:rFonts w:asciiTheme="majorHAnsi" w:hAnsiTheme="majorHAnsi" w:cstheme="majorHAnsi"/>
        </w:rPr>
        <w:t>dall’Azienda Speciale CavriagoServizi</w:t>
      </w:r>
      <w:r w:rsidR="002B538A" w:rsidRPr="00034030">
        <w:rPr>
          <w:rFonts w:asciiTheme="majorHAnsi" w:hAnsiTheme="majorHAnsi" w:cstheme="majorHAnsi"/>
        </w:rPr>
        <w:t>:</w:t>
      </w:r>
      <w:bookmarkStart w:id="13" w:name="_GoBack"/>
      <w:bookmarkEnd w:id="13"/>
    </w:p>
    <w:p w:rsidR="00E55704" w:rsidRDefault="00E55704" w:rsidP="00E55704">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E55704" w:rsidRDefault="00E55704"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p>
    <w:p w:rsidR="00975B4C" w:rsidRDefault="00630C98"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w:t>
      </w:r>
      <w:r w:rsidR="00392A7A">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52E65"/>
    <w:rsid w:val="00072DE9"/>
    <w:rsid w:val="00081E0A"/>
    <w:rsid w:val="00090E1B"/>
    <w:rsid w:val="00091011"/>
    <w:rsid w:val="000A1BAE"/>
    <w:rsid w:val="000A74D4"/>
    <w:rsid w:val="000C7FA7"/>
    <w:rsid w:val="000F07AE"/>
    <w:rsid w:val="000F733D"/>
    <w:rsid w:val="001357D9"/>
    <w:rsid w:val="00144610"/>
    <w:rsid w:val="0015468F"/>
    <w:rsid w:val="001B453B"/>
    <w:rsid w:val="001C676D"/>
    <w:rsid w:val="001D4AEB"/>
    <w:rsid w:val="00211263"/>
    <w:rsid w:val="00214300"/>
    <w:rsid w:val="00221DB0"/>
    <w:rsid w:val="00263A31"/>
    <w:rsid w:val="002A2F7D"/>
    <w:rsid w:val="002B16CB"/>
    <w:rsid w:val="002B538A"/>
    <w:rsid w:val="002C5292"/>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80458"/>
    <w:rsid w:val="005B7DC4"/>
    <w:rsid w:val="00626F38"/>
    <w:rsid w:val="00630C98"/>
    <w:rsid w:val="006819B3"/>
    <w:rsid w:val="00693BF8"/>
    <w:rsid w:val="006B797C"/>
    <w:rsid w:val="0072212F"/>
    <w:rsid w:val="00725212"/>
    <w:rsid w:val="00732D4B"/>
    <w:rsid w:val="007607EF"/>
    <w:rsid w:val="007608E8"/>
    <w:rsid w:val="007A461E"/>
    <w:rsid w:val="007D3BED"/>
    <w:rsid w:val="00820572"/>
    <w:rsid w:val="0083587B"/>
    <w:rsid w:val="00865002"/>
    <w:rsid w:val="008A377F"/>
    <w:rsid w:val="008A4736"/>
    <w:rsid w:val="008B0C56"/>
    <w:rsid w:val="008D4B53"/>
    <w:rsid w:val="008E516B"/>
    <w:rsid w:val="008F391D"/>
    <w:rsid w:val="008F6A41"/>
    <w:rsid w:val="00917591"/>
    <w:rsid w:val="009545A3"/>
    <w:rsid w:val="00975B4C"/>
    <w:rsid w:val="009808E8"/>
    <w:rsid w:val="00982B50"/>
    <w:rsid w:val="009912B5"/>
    <w:rsid w:val="009A6536"/>
    <w:rsid w:val="009A77D3"/>
    <w:rsid w:val="009C20E1"/>
    <w:rsid w:val="009F0BA5"/>
    <w:rsid w:val="009F5919"/>
    <w:rsid w:val="00A1143C"/>
    <w:rsid w:val="00A3221D"/>
    <w:rsid w:val="00A32AE0"/>
    <w:rsid w:val="00A41238"/>
    <w:rsid w:val="00A923DE"/>
    <w:rsid w:val="00AA7060"/>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C01F9A"/>
    <w:rsid w:val="00C43201"/>
    <w:rsid w:val="00C53D46"/>
    <w:rsid w:val="00C766A0"/>
    <w:rsid w:val="00C904AB"/>
    <w:rsid w:val="00CA25CF"/>
    <w:rsid w:val="00CB5938"/>
    <w:rsid w:val="00CE78BC"/>
    <w:rsid w:val="00CF6B4F"/>
    <w:rsid w:val="00D31EBF"/>
    <w:rsid w:val="00D373AD"/>
    <w:rsid w:val="00D7075C"/>
    <w:rsid w:val="00D93520"/>
    <w:rsid w:val="00DA20AF"/>
    <w:rsid w:val="00DA71B4"/>
    <w:rsid w:val="00DE5922"/>
    <w:rsid w:val="00DF19BA"/>
    <w:rsid w:val="00E039D9"/>
    <w:rsid w:val="00E07EF0"/>
    <w:rsid w:val="00E34CFE"/>
    <w:rsid w:val="00E44293"/>
    <w:rsid w:val="00E4490E"/>
    <w:rsid w:val="00E55704"/>
    <w:rsid w:val="00E7037C"/>
    <w:rsid w:val="00E91B03"/>
    <w:rsid w:val="00EA4926"/>
    <w:rsid w:val="00EF6603"/>
    <w:rsid w:val="00EF6748"/>
    <w:rsid w:val="00F07C04"/>
    <w:rsid w:val="00F402A3"/>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DCB8-1FE7-400A-9477-33224FD2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7</Pages>
  <Words>2219</Words>
  <Characters>12651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105</cp:revision>
  <cp:lastPrinted>2018-12-07T12:02:00Z</cp:lastPrinted>
  <dcterms:created xsi:type="dcterms:W3CDTF">2018-11-05T12:51:00Z</dcterms:created>
  <dcterms:modified xsi:type="dcterms:W3CDTF">2020-03-03T11:48:00Z</dcterms:modified>
</cp:coreProperties>
</file>