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 xml:space="preserve">Allegato 2 al </w:t>
      </w:r>
      <w:r w:rsidR="0022539D">
        <w:rPr>
          <w:rFonts w:asciiTheme="majorHAnsi" w:hAnsiTheme="majorHAnsi" w:cstheme="majorHAnsi"/>
          <w:b/>
          <w:sz w:val="24"/>
          <w:szCs w:val="24"/>
        </w:rPr>
        <w:t>Bando di Gara</w:t>
      </w:r>
      <w:bookmarkStart w:id="2" w:name="_GoBack"/>
      <w:bookmarkEnd w:id="2"/>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3" w:name="OLE_LINK20"/>
      <w:bookmarkStart w:id="4" w:name="OLE_LINK24"/>
    </w:p>
    <w:p w:rsidR="00CF6B4F" w:rsidRPr="00034030" w:rsidRDefault="00CF6B4F">
      <w:pPr>
        <w:ind w:left="360"/>
        <w:jc w:val="both"/>
        <w:rPr>
          <w:rFonts w:asciiTheme="majorHAnsi" w:hAnsiTheme="majorHAnsi" w:cstheme="majorHAnsi"/>
          <w:sz w:val="24"/>
          <w:szCs w:val="24"/>
        </w:rPr>
      </w:pPr>
      <w:bookmarkStart w:id="5" w:name="OLE_LINK40"/>
      <w:bookmarkStart w:id="6" w:name="OLE_LINK1"/>
      <w:bookmarkEnd w:id="3"/>
    </w:p>
    <w:p w:rsidR="00D40F5F" w:rsidRPr="00144225" w:rsidRDefault="00D40F5F" w:rsidP="00D40F5F">
      <w:pPr>
        <w:autoSpaceDE w:val="0"/>
        <w:ind w:left="360"/>
        <w:jc w:val="center"/>
        <w:rPr>
          <w:rFonts w:asciiTheme="majorHAnsi" w:hAnsiTheme="majorHAnsi" w:cstheme="majorHAnsi"/>
          <w:b/>
          <w:bCs/>
          <w:sz w:val="22"/>
        </w:rPr>
      </w:pPr>
      <w:bookmarkStart w:id="7" w:name="OLE_LINK9"/>
      <w:bookmarkStart w:id="8" w:name="OLE_LINK2"/>
      <w:bookmarkStart w:id="9" w:name="OLE_LINK21"/>
      <w:bookmarkEnd w:id="5"/>
      <w:bookmarkEnd w:id="6"/>
      <w:bookmarkEnd w:id="4"/>
      <w:bookmarkEnd w:id="1"/>
      <w:bookmarkEnd w:id="0"/>
      <w:r w:rsidRPr="00144225">
        <w:rPr>
          <w:rFonts w:asciiTheme="majorHAnsi" w:hAnsiTheme="majorHAnsi" w:cstheme="majorHAnsi"/>
          <w:b/>
          <w:bCs/>
          <w:sz w:val="22"/>
        </w:rPr>
        <w:t>PROCEDURA APERTA AI SENSI DELL’ART. 60 e 36, COMMA 9, DEL D.LGS 50/2016 PER L’AFFIDAMENTO DEI LAVORI DI MIGLIORAMENTO SISMICO DELLA SCUOLA SECONDARIA DI PRIMO GRADO “J.ZANNONI” SITA NEL COMUNE DI MONTECCHIO EMILIA (RE) – II^ STRALCIO.</w:t>
      </w:r>
    </w:p>
    <w:bookmarkEnd w:id="7"/>
    <w:p w:rsidR="00D40F5F" w:rsidRPr="00144225" w:rsidRDefault="00D40F5F" w:rsidP="00D40F5F">
      <w:pPr>
        <w:autoSpaceDE w:val="0"/>
        <w:ind w:left="360"/>
        <w:jc w:val="center"/>
        <w:rPr>
          <w:rFonts w:asciiTheme="majorHAnsi" w:hAnsiTheme="majorHAnsi" w:cstheme="majorHAnsi"/>
          <w:b/>
          <w:bCs/>
          <w:sz w:val="22"/>
        </w:rPr>
      </w:pPr>
    </w:p>
    <w:p w:rsidR="00D40F5F" w:rsidRPr="00144225" w:rsidRDefault="00D40F5F" w:rsidP="00D40F5F">
      <w:pPr>
        <w:autoSpaceDE w:val="0"/>
        <w:ind w:left="360"/>
        <w:jc w:val="center"/>
        <w:rPr>
          <w:rFonts w:asciiTheme="majorHAnsi" w:hAnsiTheme="majorHAnsi" w:cstheme="majorHAnsi"/>
          <w:b/>
          <w:bCs/>
          <w:sz w:val="22"/>
        </w:rPr>
      </w:pPr>
      <w:r w:rsidRPr="00144225">
        <w:rPr>
          <w:rFonts w:asciiTheme="majorHAnsi" w:hAnsiTheme="majorHAnsi" w:cstheme="majorHAnsi"/>
          <w:b/>
          <w:bCs/>
          <w:sz w:val="22"/>
        </w:rPr>
        <w:t>CIG 7942186339 – H28E15000020005 E H28E15000030001</w:t>
      </w:r>
    </w:p>
    <w:p w:rsidR="00D40F5F" w:rsidRPr="00290AD5" w:rsidRDefault="00D40F5F" w:rsidP="00D40F5F">
      <w:pPr>
        <w:pStyle w:val="Titolo6"/>
        <w:ind w:left="360" w:right="0"/>
        <w:rPr>
          <w:rFonts w:asciiTheme="majorHAnsi" w:eastAsia="Arial Unicode MS" w:hAnsiTheme="majorHAnsi" w:cstheme="majorHAnsi"/>
          <w:b w:val="0"/>
          <w:bCs/>
          <w:sz w:val="24"/>
          <w:szCs w:val="24"/>
        </w:rPr>
      </w:pPr>
    </w:p>
    <w:p w:rsidR="00CF6B4F" w:rsidRPr="00034030" w:rsidRDefault="00CF6B4F">
      <w:pPr>
        <w:rPr>
          <w:rFonts w:asciiTheme="majorHAnsi" w:eastAsia="Arial Unicode MS" w:hAnsiTheme="majorHAnsi" w:cstheme="majorHAnsi"/>
          <w:sz w:val="24"/>
          <w:szCs w:val="24"/>
        </w:rPr>
      </w:pPr>
    </w:p>
    <w:bookmarkEnd w:id="8"/>
    <w:bookmarkEnd w:id="9"/>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10"/>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r>
        <w:rPr>
          <w:rFonts w:asciiTheme="majorHAnsi" w:hAnsiTheme="majorHAnsi" w:cstheme="majorHAnsi"/>
          <w:sz w:val="24"/>
          <w:szCs w:val="24"/>
          <w:u w:val="single"/>
        </w:rPr>
        <w:t>Dichiara di partecipare in qualità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r w:rsidRPr="000F07AE">
        <w:rPr>
          <w:rFonts w:asciiTheme="majorHAnsi" w:hAnsiTheme="majorHAnsi" w:cstheme="majorHAnsi"/>
          <w:sz w:val="24"/>
          <w:szCs w:val="24"/>
        </w:rPr>
        <w:t>Imprenditore individuale;</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 xml:space="preserve">Legale </w:t>
      </w:r>
      <w:r w:rsidR="005B7DC4">
        <w:rPr>
          <w:rFonts w:asciiTheme="majorHAnsi" w:hAnsiTheme="majorHAnsi" w:cstheme="majorHAnsi"/>
          <w:sz w:val="24"/>
          <w:szCs w:val="24"/>
        </w:rPr>
        <w:t>Rappresentante della Società: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Raggruppamento Temporaneo composto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Ausiliaria del concorrente: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EB2E11" w:rsidRDefault="00EB2E11" w:rsidP="00EB2E11">
      <w:pPr>
        <w:pStyle w:val="Paragrafoelenco"/>
        <w:rPr>
          <w:rFonts w:asciiTheme="majorHAnsi" w:hAnsiTheme="majorHAnsi" w:cstheme="majorHAnsi"/>
          <w:sz w:val="24"/>
          <w:szCs w:val="24"/>
        </w:rPr>
      </w:pPr>
    </w:p>
    <w:p w:rsidR="00EB2E11" w:rsidRPr="002F288E" w:rsidRDefault="00EB2E11" w:rsidP="000F07AE">
      <w:pPr>
        <w:pStyle w:val="sche3"/>
        <w:widowControl/>
        <w:numPr>
          <w:ilvl w:val="0"/>
          <w:numId w:val="8"/>
        </w:numPr>
        <w:rPr>
          <w:rFonts w:asciiTheme="majorHAnsi" w:hAnsiTheme="majorHAnsi" w:cstheme="majorHAnsi"/>
          <w:sz w:val="24"/>
          <w:szCs w:val="24"/>
        </w:rPr>
      </w:pPr>
      <w:r w:rsidRPr="002F288E">
        <w:rPr>
          <w:rFonts w:asciiTheme="majorHAnsi" w:hAnsiTheme="majorHAnsi" w:cstheme="majorHAnsi"/>
          <w:sz w:val="24"/>
          <w:szCs w:val="24"/>
        </w:rPr>
        <w:t>Subappaltatore individuato dal concorrente: ___________________________________________ ______________________________________________________________________________;</w:t>
      </w:r>
    </w:p>
    <w:p w:rsidR="000F07AE" w:rsidRDefault="000F07AE">
      <w:pPr>
        <w:pStyle w:val="sche3"/>
        <w:widowControl/>
        <w:ind w:left="360"/>
        <w:jc w:val="center"/>
        <w:rPr>
          <w:rFonts w:asciiTheme="majorHAnsi" w:hAnsiTheme="majorHAnsi" w:cstheme="majorHAnsi"/>
          <w:sz w:val="24"/>
          <w:szCs w:val="24"/>
          <w:u w:val="single"/>
        </w:rPr>
      </w:pPr>
    </w:p>
    <w:p w:rsidR="000F07AE" w:rsidRDefault="000F07AE">
      <w:pPr>
        <w:pStyle w:val="sche3"/>
        <w:widowControl/>
        <w:ind w:left="360"/>
        <w:jc w:val="center"/>
        <w:rPr>
          <w:rFonts w:asciiTheme="majorHAnsi" w:hAnsiTheme="majorHAnsi" w:cstheme="majorHAnsi"/>
          <w:sz w:val="24"/>
          <w:szCs w:val="24"/>
          <w:u w:val="single"/>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B50BEC">
        <w:rPr>
          <w:rFonts w:asciiTheme="majorHAnsi" w:eastAsia="Tahoma" w:hAnsiTheme="majorHAnsi" w:cstheme="majorHAnsi"/>
          <w:szCs w:val="24"/>
        </w:rPr>
        <w:tab/>
      </w:r>
      <w:r w:rsidRPr="00034030">
        <w:rPr>
          <w:rFonts w:asciiTheme="majorHAnsi" w:eastAsia="Tahoma" w:hAnsiTheme="majorHAnsi" w:cstheme="majorHAnsi"/>
          <w:szCs w:val="24"/>
        </w:rPr>
        <w:t xml:space="preserve">False comunicazioni sociali di cui agli articoli 2621 e 2622 del codice civile (Art. 80, comma 1, let. b-bis) del Codice:   </w:t>
      </w:r>
      <w:r w:rsidRPr="00034030">
        <w:rPr>
          <w:rFonts w:asciiTheme="majorHAnsi" w:hAnsiTheme="majorHAnsi" w:cstheme="majorHAnsi"/>
          <w:szCs w:val="24"/>
        </w:rPr>
        <w:t xml:space="preserve">  </w:t>
      </w:r>
      <w:r w:rsidR="00B50BEC">
        <w:rPr>
          <w:rFonts w:asciiTheme="majorHAnsi" w:hAnsiTheme="majorHAnsi" w:cstheme="majorHAnsi"/>
          <w:szCs w:val="24"/>
        </w:rPr>
        <w:t xml:space="preserve">    </w:t>
      </w:r>
      <w:bookmarkStart w:id="11" w:name="_Hlk529258981"/>
      <w:r w:rsidR="00B50BEC">
        <w:rPr>
          <w:rFonts w:asciiTheme="majorHAnsi" w:hAnsiTheme="majorHAnsi" w:cstheme="majorHAnsi"/>
          <w:szCs w:val="24"/>
        </w:rPr>
        <w:sym w:font="Symbol" w:char="F0F0"/>
      </w:r>
      <w:bookmarkEnd w:id="11"/>
      <w:r w:rsidRPr="00034030">
        <w:rPr>
          <w:rFonts w:asciiTheme="majorHAnsi" w:hAnsiTheme="majorHAnsi" w:cstheme="majorHAnsi"/>
          <w:szCs w:val="24"/>
        </w:rPr>
        <w:t xml:space="preserve">   SI          </w:t>
      </w:r>
      <w:r w:rsidR="00B50BEC">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w:t>
      </w:r>
      <w:r w:rsidRPr="00B50BEC">
        <w:rPr>
          <w:rFonts w:asciiTheme="majorHAnsi" w:eastAsia="Tahoma" w:hAnsiTheme="majorHAnsi" w:cstheme="majorHAnsi"/>
          <w:szCs w:val="24"/>
        </w:rPr>
        <w:lastRenderedPageBreak/>
        <w:t>della pena su richiesta, la relativa durata e il reato commesso:</w:t>
      </w:r>
      <w:r w:rsidR="00B50BEC" w:rsidRPr="00B50BEC">
        <w:rPr>
          <w:rFonts w:asciiTheme="majorHAnsi" w:eastAsia="Tahoma" w:hAnsiTheme="majorHAnsi" w:cstheme="majorHAnsi"/>
          <w:szCs w:val="24"/>
        </w:rPr>
        <w:t xml:space="preserve"> </w:t>
      </w:r>
      <w:bookmarkStart w:id="12" w:name="_Hlk529258997"/>
      <w:r w:rsidR="00B50BEC" w:rsidRPr="00B50BEC">
        <w:rPr>
          <w:rFonts w:asciiTheme="majorHAnsi" w:eastAsia="Tahoma" w:hAnsiTheme="majorHAnsi" w:cstheme="majorHAnsi"/>
          <w:szCs w:val="24"/>
        </w:rPr>
        <w:t>_____________ _________________________________________________________________________</w:t>
      </w:r>
      <w:bookmarkEnd w:id="12"/>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3"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3"/>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4" w:name="_Hlk529259407"/>
      <w:r w:rsidR="00B50BEC">
        <w:rPr>
          <w:rFonts w:asciiTheme="majorHAnsi" w:eastAsia="Tahoma" w:hAnsiTheme="majorHAnsi" w:cstheme="majorHAnsi"/>
          <w:szCs w:val="24"/>
        </w:rPr>
        <w:t>______________________________________________</w:t>
      </w:r>
      <w:bookmarkEnd w:id="14"/>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6B20B8" w:rsidRPr="00034030" w:rsidRDefault="006678F9" w:rsidP="006678F9">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Pr>
          <w:rFonts w:asciiTheme="majorHAnsi" w:eastAsia="Tahoma" w:hAnsiTheme="majorHAnsi" w:cstheme="majorHAnsi"/>
          <w:b/>
          <w:szCs w:val="24"/>
        </w:rPr>
        <w:t xml:space="preserve">- </w:t>
      </w:r>
      <w:r w:rsidR="006B20B8" w:rsidRPr="00034030">
        <w:rPr>
          <w:rFonts w:asciiTheme="majorHAnsi" w:eastAsia="Tahoma" w:hAnsiTheme="majorHAnsi" w:cstheme="majorHAnsi"/>
          <w:b/>
          <w:szCs w:val="24"/>
        </w:rPr>
        <w:tab/>
        <w:t xml:space="preserve">Motivi di esclusione previsti esclusivamente dalla legislazione nazionale </w:t>
      </w:r>
      <w:r w:rsidR="006B20B8" w:rsidRPr="00034030">
        <w:rPr>
          <w:rFonts w:asciiTheme="majorHAnsi" w:eastAsia="Tahoma" w:hAnsiTheme="majorHAnsi" w:cstheme="majorHAnsi"/>
          <w:szCs w:val="24"/>
        </w:rPr>
        <w:t>(art. 80 comma 2 e comma 5, lett.</w:t>
      </w:r>
      <w:r w:rsidR="006B20B8">
        <w:rPr>
          <w:rFonts w:asciiTheme="majorHAnsi" w:eastAsia="Tahoma" w:hAnsiTheme="majorHAnsi" w:cstheme="majorHAnsi"/>
          <w:szCs w:val="24"/>
        </w:rPr>
        <w:t xml:space="preserve"> c), c-bis), c-ter), f),</w:t>
      </w:r>
      <w:r w:rsidR="006B20B8" w:rsidRPr="00034030">
        <w:rPr>
          <w:rFonts w:asciiTheme="majorHAnsi" w:eastAsia="Tahoma" w:hAnsiTheme="majorHAnsi" w:cstheme="majorHAnsi"/>
          <w:szCs w:val="24"/>
        </w:rPr>
        <w:t xml:space="preserve"> f-bis), f-ter),</w:t>
      </w:r>
      <w:r w:rsidR="006B20B8">
        <w:rPr>
          <w:rFonts w:asciiTheme="majorHAnsi" w:eastAsia="Tahoma" w:hAnsiTheme="majorHAnsi" w:cstheme="majorHAnsi"/>
          <w:szCs w:val="24"/>
        </w:rPr>
        <w:t xml:space="preserve"> h), i),</w:t>
      </w:r>
      <w:r w:rsidR="006B20B8" w:rsidRPr="00034030">
        <w:rPr>
          <w:rFonts w:asciiTheme="majorHAnsi" w:eastAsia="Tahoma" w:hAnsiTheme="majorHAnsi" w:cstheme="majorHAnsi"/>
          <w:szCs w:val="24"/>
        </w:rPr>
        <w:t xml:space="preserve"> l),</w:t>
      </w:r>
      <w:r w:rsidR="006B20B8">
        <w:rPr>
          <w:rFonts w:asciiTheme="majorHAnsi" w:eastAsia="Tahoma" w:hAnsiTheme="majorHAnsi" w:cstheme="majorHAnsi"/>
          <w:szCs w:val="24"/>
        </w:rPr>
        <w:t xml:space="preserve"> m)</w:t>
      </w:r>
      <w:r w:rsidR="006B20B8" w:rsidRPr="00034030">
        <w:rPr>
          <w:rFonts w:asciiTheme="majorHAnsi" w:eastAsia="Tahoma" w:hAnsiTheme="majorHAnsi" w:cstheme="majorHAnsi"/>
          <w:szCs w:val="24"/>
        </w:rPr>
        <w:t xml:space="preserve"> del D. Lgs. 50/2016)</w:t>
      </w:r>
      <w:r w:rsidR="006B20B8" w:rsidRPr="00034030">
        <w:rPr>
          <w:rFonts w:asciiTheme="majorHAnsi" w:eastAsia="Tahoma" w:hAnsiTheme="majorHAnsi" w:cstheme="majorHAnsi"/>
          <w:b/>
          <w:szCs w:val="24"/>
        </w:rPr>
        <w:t>:</w:t>
      </w:r>
    </w:p>
    <w:p w:rsidR="006B20B8" w:rsidRPr="00034030" w:rsidRDefault="006B20B8" w:rsidP="006B20B8">
      <w:pPr>
        <w:pStyle w:val="Standard"/>
        <w:tabs>
          <w:tab w:val="left" w:pos="1588"/>
          <w:tab w:val="left" w:pos="2580"/>
        </w:tabs>
        <w:ind w:left="1304"/>
        <w:jc w:val="both"/>
        <w:rPr>
          <w:rFonts w:asciiTheme="majorHAnsi" w:eastAsia="Tahoma" w:hAnsiTheme="majorHAnsi" w:cstheme="majorHAnsi"/>
          <w:szCs w:val="24"/>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365F0" w:rsidRDefault="00E365F0" w:rsidP="006B20B8">
      <w:pPr>
        <w:pStyle w:val="Standard"/>
        <w:tabs>
          <w:tab w:val="left" w:pos="1588"/>
          <w:tab w:val="left" w:pos="2580"/>
        </w:tabs>
        <w:ind w:left="1304"/>
        <w:jc w:val="both"/>
        <w:rPr>
          <w:rFonts w:asciiTheme="majorHAnsi" w:hAnsiTheme="majorHAnsi" w:cstheme="majorHAnsi"/>
        </w:rPr>
      </w:pPr>
    </w:p>
    <w:p w:rsidR="00E365F0" w:rsidRDefault="00E365F0" w:rsidP="00E365F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E365F0" w:rsidRDefault="00E365F0" w:rsidP="00E365F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Pr>
          <w:rFonts w:asciiTheme="majorHAnsi" w:hAnsiTheme="majorHAnsi" w:cstheme="majorHAnsi"/>
          <w:bCs/>
        </w:rPr>
        <w:t>ha</w:t>
      </w:r>
      <w:r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Pr>
          <w:rFonts w:asciiTheme="majorHAnsi" w:hAnsiTheme="majorHAnsi" w:cstheme="majorHAnsi"/>
          <w:bCs/>
        </w:rPr>
        <w:t>ha</w:t>
      </w:r>
      <w:r w:rsidRPr="008D4B53">
        <w:rPr>
          <w:rFonts w:asciiTheme="majorHAnsi" w:hAnsiTheme="majorHAnsi" w:cstheme="majorHAnsi"/>
          <w:bCs/>
        </w:rPr>
        <w:t xml:space="preserve"> omesso le informazioni dovute ai fini del corretto svolgimento della procedura di selezione</w:t>
      </w:r>
      <w:r w:rsidRPr="008D4B53">
        <w:rPr>
          <w:rFonts w:asciiTheme="majorHAnsi" w:hAnsiTheme="majorHAnsi" w:cstheme="majorHAnsi"/>
        </w:rPr>
        <w:t xml:space="preserve"> </w:t>
      </w:r>
      <w:r>
        <w:rPr>
          <w:rFonts w:asciiTheme="majorHAnsi" w:eastAsia="Tahoma" w:hAnsiTheme="majorHAnsi" w:cstheme="majorHAnsi"/>
          <w:szCs w:val="24"/>
        </w:rPr>
        <w:t>(Art. 80, comma 5, lett. c-bis)</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Pr="00865002"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lastRenderedPageBreak/>
        <w:t xml:space="preserve"> </w:t>
      </w:r>
      <w:r>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tabs>
          <w:tab w:val="left" w:pos="1588"/>
          <w:tab w:val="left" w:pos="2580"/>
        </w:tabs>
        <w:ind w:left="1304"/>
        <w:jc w:val="both"/>
        <w:rPr>
          <w:rFonts w:asciiTheme="majorHAnsi" w:hAnsiTheme="majorHAnsi" w:cstheme="majorHAnsi"/>
        </w:rPr>
      </w:pPr>
    </w:p>
    <w:p w:rsidR="006B20B8" w:rsidRPr="00034030"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6B20B8" w:rsidRPr="00034030"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034030"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034030"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ha violato il divieto di intestazione fiduciaria di cui all’art. 17 della legge 19 marzo 1990 n. 55 (Art. 80, comma 5, lettera h)?</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è stato vittima dei reati previsti e puniti dagli </w:t>
      </w:r>
      <w:hyperlink r:id="rId8" w:anchor="317" w:history="1">
        <w:r w:rsidRPr="00034030">
          <w:rPr>
            <w:rStyle w:val="Collegamentoipertestuale"/>
            <w:rFonts w:asciiTheme="majorHAnsi" w:eastAsia="Tahoma" w:hAnsiTheme="majorHAnsi" w:cstheme="majorHAnsi"/>
            <w:color w:val="auto"/>
            <w:szCs w:val="24"/>
            <w:u w:val="none"/>
          </w:rPr>
          <w:t>articoli 317</w:t>
        </w:r>
      </w:hyperlink>
      <w:r w:rsidRPr="00034030">
        <w:rPr>
          <w:rFonts w:asciiTheme="majorHAnsi" w:eastAsia="Tahoma" w:hAnsiTheme="majorHAnsi" w:cstheme="majorHAnsi"/>
          <w:szCs w:val="24"/>
        </w:rPr>
        <w:t xml:space="preserve"> e </w:t>
      </w:r>
      <w:hyperlink r:id="rId9" w:anchor="629" w:history="1">
        <w:r w:rsidRPr="00034030">
          <w:rPr>
            <w:rStyle w:val="Collegamentoipertestuale"/>
            <w:rFonts w:asciiTheme="majorHAnsi" w:eastAsia="Tahoma" w:hAnsiTheme="majorHAnsi" w:cstheme="majorHAnsi"/>
            <w:color w:val="auto"/>
            <w:szCs w:val="24"/>
            <w:u w:val="none"/>
          </w:rPr>
          <w:t>629 del codice penale</w:t>
        </w:r>
      </w:hyperlink>
      <w:r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31226"/>
        </w:tabs>
        <w:ind w:left="454"/>
        <w:jc w:val="both"/>
        <w:rPr>
          <w:rFonts w:asciiTheme="majorHAnsi" w:eastAsia="Tahoma" w:hAnsiTheme="majorHAnsi" w:cstheme="majorHAnsi"/>
          <w:b/>
          <w:szCs w:val="24"/>
        </w:rPr>
      </w:pPr>
    </w:p>
    <w:p w:rsidR="00CF6B4F" w:rsidRPr="00034030" w:rsidRDefault="004A5C0D" w:rsidP="006B20B8">
      <w:pPr>
        <w:pStyle w:val="Standard"/>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Requisiti di idoneità professionale:</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alla C.C.I.A.A. o analogo registro di stato estero aderente alla U.E. dalla quale </w:t>
      </w:r>
      <w:r w:rsidRPr="00034030">
        <w:rPr>
          <w:rFonts w:asciiTheme="majorHAnsi" w:eastAsia="Tahoma" w:hAnsiTheme="majorHAnsi" w:cstheme="majorHAnsi"/>
          <w:szCs w:val="24"/>
        </w:rPr>
        <w:lastRenderedPageBreak/>
        <w:t xml:space="preserve">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4C76E7" w:rsidRDefault="004A5C0D" w:rsidP="00D56780">
      <w:pPr>
        <w:pStyle w:val="Standard"/>
        <w:widowControl w:val="0"/>
        <w:tabs>
          <w:tab w:val="left" w:pos="-15780"/>
          <w:tab w:val="left" w:pos="-14788"/>
        </w:tabs>
        <w:spacing w:line="360" w:lineRule="auto"/>
        <w:jc w:val="both"/>
        <w:rPr>
          <w:rFonts w:asciiTheme="majorHAnsi" w:eastAsia="Tahoma" w:hAnsiTheme="majorHAnsi" w:cstheme="majorHAnsi"/>
          <w:b/>
          <w:szCs w:val="24"/>
        </w:rPr>
      </w:pPr>
      <w:r w:rsidRPr="00034030">
        <w:rPr>
          <w:rFonts w:asciiTheme="majorHAnsi" w:eastAsia="Tahoma" w:hAnsiTheme="majorHAnsi" w:cstheme="majorHAnsi"/>
          <w:b/>
          <w:szCs w:val="24"/>
        </w:rPr>
        <w:t xml:space="preserve">B </w:t>
      </w:r>
      <w:r w:rsidRPr="00034030">
        <w:rPr>
          <w:rFonts w:asciiTheme="majorHAnsi" w:eastAsia="Tahoma" w:hAnsiTheme="majorHAnsi" w:cstheme="majorHAnsi"/>
          <w:b/>
          <w:szCs w:val="24"/>
        </w:rPr>
        <w:tab/>
      </w:r>
      <w:r w:rsidR="0092393A">
        <w:rPr>
          <w:rFonts w:asciiTheme="majorHAnsi" w:eastAsia="Tahoma" w:hAnsiTheme="majorHAnsi" w:cstheme="majorHAnsi"/>
          <w:b/>
          <w:szCs w:val="24"/>
        </w:rPr>
        <w:t>Capacità Tecnica e Organizzativa – Per la categoria prevalente</w:t>
      </w:r>
      <w:r w:rsidR="004C76E7">
        <w:rPr>
          <w:rFonts w:asciiTheme="majorHAnsi" w:eastAsia="Tahoma" w:hAnsiTheme="majorHAnsi" w:cstheme="majorHAnsi"/>
          <w:b/>
          <w:szCs w:val="24"/>
        </w:rPr>
        <w:t xml:space="preserve"> </w:t>
      </w:r>
      <w:r w:rsidR="00DE1CF9">
        <w:rPr>
          <w:rFonts w:asciiTheme="majorHAnsi" w:eastAsia="Tahoma" w:hAnsiTheme="majorHAnsi" w:cstheme="majorHAnsi"/>
          <w:b/>
          <w:szCs w:val="24"/>
        </w:rPr>
        <w:t>OG1</w:t>
      </w:r>
      <w:r w:rsidR="004C76E7" w:rsidRPr="004C76E7">
        <w:rPr>
          <w:rFonts w:asciiTheme="majorHAnsi" w:eastAsia="Tahoma" w:hAnsiTheme="majorHAnsi" w:cstheme="majorHAnsi"/>
          <w:b/>
          <w:szCs w:val="24"/>
        </w:rPr>
        <w:t xml:space="preserve"> – </w:t>
      </w:r>
      <w:r w:rsidR="00DE1CF9">
        <w:rPr>
          <w:rFonts w:asciiTheme="majorHAnsi" w:eastAsia="Tahoma" w:hAnsiTheme="majorHAnsi" w:cstheme="majorHAnsi"/>
          <w:b/>
          <w:szCs w:val="24"/>
        </w:rPr>
        <w:t>EDIFICI CIVILI E INDUSTRIALI</w:t>
      </w:r>
      <w:r w:rsidR="004C76E7">
        <w:rPr>
          <w:rFonts w:asciiTheme="majorHAnsi" w:eastAsia="Tahoma" w:hAnsiTheme="majorHAnsi" w:cstheme="majorHAnsi"/>
          <w:b/>
          <w:szCs w:val="24"/>
        </w:rPr>
        <w:t>:</w:t>
      </w:r>
    </w:p>
    <w:p w:rsidR="00D56780" w:rsidRDefault="00D56780" w:rsidP="004C76E7">
      <w:pPr>
        <w:pStyle w:val="Standard"/>
        <w:widowControl w:val="0"/>
        <w:numPr>
          <w:ilvl w:val="0"/>
          <w:numId w:val="15"/>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D56780" w:rsidRDefault="00DE1CF9" w:rsidP="00D56780">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OG1</w:t>
      </w:r>
      <w:r w:rsidR="00D56780">
        <w:rPr>
          <w:rFonts w:asciiTheme="majorHAnsi" w:eastAsia="Tahoma" w:hAnsiTheme="majorHAnsi" w:cstheme="majorHAnsi"/>
          <w:szCs w:val="24"/>
        </w:rPr>
        <w:t xml:space="preserve"> Classifica I</w:t>
      </w:r>
      <w:r>
        <w:rPr>
          <w:rFonts w:asciiTheme="majorHAnsi" w:eastAsia="Tahoma" w:hAnsiTheme="majorHAnsi" w:cstheme="majorHAnsi"/>
          <w:szCs w:val="24"/>
        </w:rPr>
        <w:t>I</w:t>
      </w:r>
      <w:r w:rsidR="00D56780">
        <w:rPr>
          <w:rFonts w:asciiTheme="majorHAnsi" w:eastAsia="Tahoma" w:hAnsiTheme="majorHAnsi" w:cstheme="majorHAnsi"/>
          <w:szCs w:val="24"/>
        </w:rPr>
        <w:t xml:space="preserve"> o superiore     </w:t>
      </w:r>
      <w:r w:rsidR="00D56780">
        <w:rPr>
          <w:rFonts w:asciiTheme="majorHAnsi" w:hAnsiTheme="majorHAnsi" w:cstheme="majorHAnsi"/>
          <w:szCs w:val="24"/>
        </w:rPr>
        <w:sym w:font="Symbol" w:char="F0F0"/>
      </w:r>
      <w:r w:rsidR="00D56780" w:rsidRPr="00034030">
        <w:rPr>
          <w:rFonts w:asciiTheme="majorHAnsi" w:eastAsia="Tahoma" w:hAnsiTheme="majorHAnsi" w:cstheme="majorHAnsi"/>
          <w:szCs w:val="24"/>
        </w:rPr>
        <w:t xml:space="preserve">   SI             </w:t>
      </w:r>
      <w:r w:rsidR="00D56780">
        <w:rPr>
          <w:rFonts w:asciiTheme="majorHAnsi" w:hAnsiTheme="majorHAnsi" w:cstheme="majorHAnsi"/>
          <w:szCs w:val="24"/>
        </w:rPr>
        <w:sym w:font="Symbol" w:char="F0F0"/>
      </w:r>
      <w:r w:rsidR="00D56780" w:rsidRPr="00034030">
        <w:rPr>
          <w:rFonts w:asciiTheme="majorHAnsi" w:eastAsia="Tahoma" w:hAnsiTheme="majorHAnsi" w:cstheme="majorHAnsi"/>
          <w:szCs w:val="24"/>
        </w:rPr>
        <w:t xml:space="preserve">   NO   </w:t>
      </w:r>
    </w:p>
    <w:p w:rsidR="00D56780" w:rsidRDefault="00D56780" w:rsidP="00D56780">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D56780" w:rsidRDefault="00D56780" w:rsidP="00D56780">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D56780" w:rsidRDefault="00D56780" w:rsidP="00D56780">
      <w:pPr>
        <w:pStyle w:val="Standard"/>
        <w:widowControl w:val="0"/>
        <w:tabs>
          <w:tab w:val="left" w:pos="-14193"/>
          <w:tab w:val="left" w:pos="-13201"/>
        </w:tabs>
        <w:spacing w:line="276" w:lineRule="auto"/>
        <w:ind w:left="1560"/>
        <w:jc w:val="both"/>
        <w:rPr>
          <w:rFonts w:asciiTheme="majorHAnsi" w:hAnsiTheme="majorHAnsi" w:cstheme="majorHAnsi"/>
        </w:rPr>
      </w:pPr>
    </w:p>
    <w:p w:rsidR="00DE1CF9" w:rsidRDefault="00DE1CF9" w:rsidP="00DE1CF9">
      <w:pPr>
        <w:pStyle w:val="Standard"/>
        <w:widowControl w:val="0"/>
        <w:tabs>
          <w:tab w:val="left" w:pos="-15780"/>
          <w:tab w:val="left" w:pos="-14788"/>
        </w:tabs>
        <w:spacing w:line="360" w:lineRule="auto"/>
        <w:jc w:val="both"/>
        <w:rPr>
          <w:rFonts w:asciiTheme="majorHAnsi" w:eastAsia="Tahoma" w:hAnsiTheme="majorHAnsi" w:cstheme="majorHAnsi"/>
          <w:b/>
          <w:szCs w:val="24"/>
        </w:rPr>
      </w:pPr>
      <w:r>
        <w:rPr>
          <w:rFonts w:asciiTheme="majorHAnsi" w:eastAsia="Tahoma" w:hAnsiTheme="majorHAnsi" w:cstheme="majorHAnsi"/>
          <w:b/>
          <w:szCs w:val="24"/>
        </w:rPr>
        <w:t>C</w:t>
      </w:r>
      <w:r w:rsidRPr="00034030">
        <w:rPr>
          <w:rFonts w:asciiTheme="majorHAnsi" w:eastAsia="Tahoma" w:hAnsiTheme="majorHAnsi" w:cstheme="majorHAnsi"/>
          <w:b/>
          <w:szCs w:val="24"/>
        </w:rPr>
        <w:tab/>
      </w:r>
      <w:r>
        <w:rPr>
          <w:rFonts w:asciiTheme="majorHAnsi" w:eastAsia="Tahoma" w:hAnsiTheme="majorHAnsi" w:cstheme="majorHAnsi"/>
          <w:b/>
          <w:szCs w:val="24"/>
        </w:rPr>
        <w:t>Capacità Tecnica e Organizzativa – Per la categoria scorporabile  OS6 – FINITURE DI OPERE GENERALI IN MATERIALI LIGNEI, PLASTICI,METALLICI E VETROSI:</w:t>
      </w:r>
    </w:p>
    <w:p w:rsidR="00DE1CF9" w:rsidRDefault="00DE1CF9" w:rsidP="00DE1CF9">
      <w:pPr>
        <w:pStyle w:val="Standard"/>
        <w:widowControl w:val="0"/>
        <w:numPr>
          <w:ilvl w:val="0"/>
          <w:numId w:val="15"/>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DE1CF9" w:rsidRDefault="00DE1CF9" w:rsidP="00DE1CF9">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OS6</w:t>
      </w:r>
      <w:r>
        <w:rPr>
          <w:rFonts w:asciiTheme="majorHAnsi" w:eastAsia="Tahoma" w:hAnsiTheme="majorHAnsi" w:cstheme="majorHAnsi"/>
          <w:szCs w:val="24"/>
        </w:rPr>
        <w:t xml:space="preserve">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DE1CF9" w:rsidRDefault="00DE1CF9" w:rsidP="00DE1CF9">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DE1CF9" w:rsidRDefault="00DE1CF9" w:rsidP="00DE1CF9">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580CC4" w:rsidRDefault="00580CC4" w:rsidP="00D56780">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p>
    <w:p w:rsidR="00D56780" w:rsidRDefault="00D56780" w:rsidP="00D56780">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D56780" w:rsidRDefault="00D56780" w:rsidP="00D56780">
      <w:pPr>
        <w:pStyle w:val="Standard"/>
        <w:widowControl w:val="0"/>
        <w:tabs>
          <w:tab w:val="left" w:pos="-14193"/>
          <w:tab w:val="left" w:pos="-13201"/>
        </w:tabs>
        <w:spacing w:line="276" w:lineRule="auto"/>
        <w:ind w:left="1560"/>
        <w:jc w:val="both"/>
        <w:rPr>
          <w:rFonts w:asciiTheme="majorHAnsi" w:hAnsiTheme="majorHAnsi" w:cstheme="majorHAnsi"/>
        </w:rPr>
      </w:pPr>
    </w:p>
    <w:p w:rsidR="00D56780" w:rsidRPr="00034030" w:rsidRDefault="00D56780" w:rsidP="00D56780">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categoria </w:t>
      </w:r>
      <w:r>
        <w:rPr>
          <w:rFonts w:asciiTheme="majorHAnsi" w:eastAsia="Tahoma" w:hAnsiTheme="majorHAnsi" w:cstheme="majorHAnsi"/>
          <w:szCs w:val="24"/>
        </w:rPr>
        <w:t>OS6</w:t>
      </w:r>
      <w:r w:rsidRPr="006B20B8">
        <w:rPr>
          <w:rFonts w:asciiTheme="majorHAnsi" w:eastAsia="Tahoma" w:hAnsiTheme="majorHAnsi" w:cstheme="majorHAnsi"/>
          <w:szCs w:val="24"/>
        </w:rPr>
        <w:t xml:space="preserve"> – </w:t>
      </w:r>
      <w:r>
        <w:rPr>
          <w:rFonts w:asciiTheme="majorHAnsi" w:eastAsia="Tahoma" w:hAnsiTheme="majorHAnsi" w:cstheme="majorHAnsi"/>
          <w:szCs w:val="24"/>
        </w:rPr>
        <w:t>FINITURE DI OPERE GENERALI IN MATERIALI LIGNEI, PLASTICI, METALLICI E VETROSI</w:t>
      </w:r>
      <w:r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importo non inferiore </w:t>
      </w:r>
      <w:r w:rsidRPr="00B06555">
        <w:rPr>
          <w:rFonts w:asciiTheme="majorHAnsi" w:eastAsia="Tahoma" w:hAnsiTheme="majorHAnsi" w:cstheme="majorHAnsi"/>
          <w:szCs w:val="24"/>
        </w:rPr>
        <w:t xml:space="preserve">ad € </w:t>
      </w:r>
      <w:r w:rsidR="00580CC4">
        <w:rPr>
          <w:rFonts w:asciiTheme="majorHAnsi" w:eastAsia="Tahoma" w:hAnsiTheme="majorHAnsi" w:cstheme="majorHAnsi"/>
          <w:szCs w:val="24"/>
        </w:rPr>
        <w:t>100.782,38</w:t>
      </w:r>
      <w:r w:rsidRPr="00034030">
        <w:rPr>
          <w:rFonts w:asciiTheme="majorHAnsi" w:eastAsia="Tahoma" w:hAnsiTheme="majorHAnsi" w:cstheme="majorHAnsi"/>
          <w:szCs w:val="24"/>
        </w:rPr>
        <w:t xml:space="preserve"> (iva esclusa):        </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D56780" w:rsidRDefault="00D56780" w:rsidP="00D56780">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6780" w:rsidRDefault="00D56780" w:rsidP="00D56780">
      <w:pPr>
        <w:pStyle w:val="Standard"/>
        <w:widowControl w:val="0"/>
        <w:tabs>
          <w:tab w:val="left" w:pos="-14193"/>
          <w:tab w:val="left" w:pos="-13201"/>
        </w:tabs>
        <w:spacing w:line="276" w:lineRule="auto"/>
        <w:ind w:left="1560"/>
        <w:jc w:val="both"/>
        <w:rPr>
          <w:rFonts w:asciiTheme="majorHAnsi" w:hAnsiTheme="majorHAnsi" w:cstheme="majorHAnsi"/>
        </w:rPr>
      </w:pPr>
    </w:p>
    <w:p w:rsidR="00D56780" w:rsidRPr="00034030" w:rsidRDefault="00D56780" w:rsidP="00D56780">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t xml:space="preserve">Aver </w:t>
      </w:r>
      <w:r w:rsidRPr="00034030">
        <w:rPr>
          <w:rFonts w:asciiTheme="majorHAnsi" w:eastAsia="Tahoma" w:hAnsiTheme="majorHAnsi" w:cstheme="majorHAnsi"/>
          <w:szCs w:val="24"/>
        </w:rPr>
        <w:t xml:space="preserve">sostenuto un costo per il personale dipendente non inferiore al 15% dell’importo lavori eseguiti nel quinquennio antecedente la data di invio della lettera di invito </w:t>
      </w:r>
      <w:r w:rsidRPr="00034030">
        <w:rPr>
          <w:rFonts w:asciiTheme="majorHAnsi" w:eastAsia="Tahoma" w:hAnsiTheme="majorHAnsi" w:cstheme="majorHAnsi"/>
          <w:szCs w:val="24"/>
        </w:rPr>
        <w:lastRenderedPageBreak/>
        <w:t>(201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D56780" w:rsidRDefault="00D56780" w:rsidP="00D5678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D56780" w:rsidRDefault="00D56780" w:rsidP="00D56780">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D56780" w:rsidRPr="006B20B8" w:rsidRDefault="00D56780" w:rsidP="00D56780">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tecnica:</w:t>
      </w:r>
      <w:r>
        <w:rPr>
          <w:rFonts w:asciiTheme="majorHAnsi" w:eastAsia="Tahoma" w:hAnsiTheme="majorHAnsi" w:cstheme="majorHAnsi"/>
          <w:szCs w:val="24"/>
        </w:rPr>
        <w:t xml:space="preserve"> </w:t>
      </w:r>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8101FA" w:rsidRDefault="008101FA" w:rsidP="00D5678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D56780" w:rsidRDefault="00D56780" w:rsidP="00D56780">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D56780" w:rsidRPr="00034030" w:rsidRDefault="00D56780" w:rsidP="00D56780">
      <w:pPr>
        <w:pStyle w:val="Standard"/>
        <w:widowControl w:val="0"/>
        <w:tabs>
          <w:tab w:val="left" w:pos="-14930"/>
          <w:tab w:val="left" w:pos="-13938"/>
        </w:tabs>
        <w:ind w:left="850"/>
        <w:jc w:val="both"/>
        <w:rPr>
          <w:rFonts w:asciiTheme="majorHAnsi" w:hAnsiTheme="majorHAnsi" w:cstheme="majorHAnsi"/>
          <w:szCs w:val="24"/>
        </w:rPr>
      </w:pPr>
    </w:p>
    <w:p w:rsidR="00580CC4" w:rsidRDefault="00580CC4" w:rsidP="00580CC4">
      <w:pPr>
        <w:pStyle w:val="Standard"/>
        <w:widowControl w:val="0"/>
        <w:tabs>
          <w:tab w:val="left" w:pos="-15780"/>
          <w:tab w:val="left" w:pos="-14788"/>
        </w:tabs>
        <w:spacing w:line="360" w:lineRule="auto"/>
        <w:jc w:val="both"/>
        <w:rPr>
          <w:rFonts w:asciiTheme="majorHAnsi" w:eastAsia="Tahoma" w:hAnsiTheme="majorHAnsi" w:cstheme="majorHAnsi"/>
          <w:b/>
          <w:szCs w:val="24"/>
        </w:rPr>
      </w:pPr>
      <w:r>
        <w:rPr>
          <w:rFonts w:asciiTheme="majorHAnsi" w:eastAsia="Tahoma" w:hAnsiTheme="majorHAnsi" w:cstheme="majorHAnsi"/>
          <w:b/>
          <w:szCs w:val="24"/>
        </w:rPr>
        <w:t>D          Capacità Tecnica e Organizzativa – Per la categoria scorporabile  OS32 – STRUTTURE IN LEGNO:</w:t>
      </w:r>
    </w:p>
    <w:p w:rsidR="00580CC4" w:rsidRDefault="00580CC4" w:rsidP="00580CC4">
      <w:pPr>
        <w:pStyle w:val="Standard"/>
        <w:widowControl w:val="0"/>
        <w:numPr>
          <w:ilvl w:val="0"/>
          <w:numId w:val="15"/>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580CC4" w:rsidRDefault="00580CC4" w:rsidP="00580CC4">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OS32</w:t>
      </w:r>
      <w:r>
        <w:rPr>
          <w:rFonts w:asciiTheme="majorHAnsi" w:eastAsia="Tahoma" w:hAnsiTheme="majorHAnsi" w:cstheme="majorHAnsi"/>
          <w:szCs w:val="24"/>
        </w:rPr>
        <w:t xml:space="preserve">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580CC4" w:rsidRDefault="00580CC4" w:rsidP="00580CC4">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580CC4" w:rsidRDefault="00580CC4" w:rsidP="00580CC4">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580CC4" w:rsidRDefault="00580CC4" w:rsidP="00580CC4">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p>
    <w:p w:rsidR="00580CC4" w:rsidRDefault="00580CC4" w:rsidP="00580CC4">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580CC4" w:rsidRDefault="00580CC4" w:rsidP="00580CC4">
      <w:pPr>
        <w:pStyle w:val="Standard"/>
        <w:widowControl w:val="0"/>
        <w:tabs>
          <w:tab w:val="left" w:pos="-14193"/>
          <w:tab w:val="left" w:pos="-13201"/>
        </w:tabs>
        <w:spacing w:line="276" w:lineRule="auto"/>
        <w:ind w:left="1560"/>
        <w:jc w:val="both"/>
        <w:rPr>
          <w:rFonts w:asciiTheme="majorHAnsi" w:hAnsiTheme="majorHAnsi" w:cstheme="majorHAnsi"/>
        </w:rPr>
      </w:pPr>
    </w:p>
    <w:p w:rsidR="00580CC4" w:rsidRPr="00034030" w:rsidRDefault="00580CC4" w:rsidP="00580CC4">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categoria </w:t>
      </w:r>
      <w:r>
        <w:rPr>
          <w:rFonts w:asciiTheme="majorHAnsi" w:eastAsia="Tahoma" w:hAnsiTheme="majorHAnsi" w:cstheme="majorHAnsi"/>
          <w:szCs w:val="24"/>
        </w:rPr>
        <w:t>OS32</w:t>
      </w:r>
      <w:r w:rsidRPr="006B20B8">
        <w:rPr>
          <w:rFonts w:asciiTheme="majorHAnsi" w:eastAsia="Tahoma" w:hAnsiTheme="majorHAnsi" w:cstheme="majorHAnsi"/>
          <w:szCs w:val="24"/>
        </w:rPr>
        <w:t xml:space="preserve"> – </w:t>
      </w:r>
      <w:r>
        <w:rPr>
          <w:rFonts w:asciiTheme="majorHAnsi" w:eastAsia="Tahoma" w:hAnsiTheme="majorHAnsi" w:cstheme="majorHAnsi"/>
          <w:szCs w:val="24"/>
        </w:rPr>
        <w:t>STRUTTURE IN LEGNO</w:t>
      </w:r>
      <w:r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importo non inferiore </w:t>
      </w:r>
      <w:r w:rsidRPr="00B06555">
        <w:rPr>
          <w:rFonts w:asciiTheme="majorHAnsi" w:eastAsia="Tahoma" w:hAnsiTheme="majorHAnsi" w:cstheme="majorHAnsi"/>
          <w:szCs w:val="24"/>
        </w:rPr>
        <w:t xml:space="preserve">ad € </w:t>
      </w:r>
      <w:r>
        <w:rPr>
          <w:rFonts w:asciiTheme="majorHAnsi" w:eastAsia="Tahoma" w:hAnsiTheme="majorHAnsi" w:cstheme="majorHAnsi"/>
          <w:szCs w:val="24"/>
        </w:rPr>
        <w:t>61.114,06</w:t>
      </w:r>
      <w:r w:rsidRPr="00034030">
        <w:rPr>
          <w:rFonts w:asciiTheme="majorHAnsi" w:eastAsia="Tahoma" w:hAnsiTheme="majorHAnsi" w:cstheme="majorHAnsi"/>
          <w:szCs w:val="24"/>
        </w:rPr>
        <w:t xml:space="preserve"> (iva esclusa):        </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580CC4" w:rsidRDefault="00580CC4" w:rsidP="00580CC4">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0CC4" w:rsidRDefault="00580CC4" w:rsidP="00580CC4">
      <w:pPr>
        <w:pStyle w:val="Standard"/>
        <w:widowControl w:val="0"/>
        <w:tabs>
          <w:tab w:val="left" w:pos="-14193"/>
          <w:tab w:val="left" w:pos="-13201"/>
        </w:tabs>
        <w:spacing w:line="276" w:lineRule="auto"/>
        <w:ind w:left="1560"/>
        <w:jc w:val="both"/>
        <w:rPr>
          <w:rFonts w:asciiTheme="majorHAnsi" w:hAnsiTheme="majorHAnsi" w:cstheme="majorHAnsi"/>
        </w:rPr>
      </w:pPr>
    </w:p>
    <w:p w:rsidR="00580CC4" w:rsidRPr="00034030" w:rsidRDefault="00580CC4" w:rsidP="00580CC4">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t xml:space="preserve">Aver </w:t>
      </w:r>
      <w:r w:rsidRPr="00034030">
        <w:rPr>
          <w:rFonts w:asciiTheme="majorHAnsi" w:eastAsia="Tahoma" w:hAnsiTheme="majorHAnsi" w:cstheme="majorHAnsi"/>
          <w:szCs w:val="24"/>
        </w:rPr>
        <w:t>sostenuto un costo per il personale dipendente non inferiore al 15% dell’importo lavori eseguiti 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580CC4" w:rsidRDefault="00580CC4" w:rsidP="00580CC4">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w:t>
      </w:r>
      <w:r>
        <w:rPr>
          <w:rFonts w:asciiTheme="majorHAnsi" w:eastAsia="Tahoma" w:hAnsiTheme="majorHAnsi" w:cstheme="majorHAnsi"/>
          <w:szCs w:val="24"/>
        </w:rPr>
        <w:lastRenderedPageBreak/>
        <w:t>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580CC4" w:rsidRDefault="00580CC4" w:rsidP="00580CC4">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580CC4" w:rsidRPr="006B20B8" w:rsidRDefault="00580CC4" w:rsidP="00580CC4">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tecnica:</w:t>
      </w:r>
      <w:r>
        <w:rPr>
          <w:rFonts w:asciiTheme="majorHAnsi" w:eastAsia="Tahoma" w:hAnsiTheme="majorHAnsi" w:cstheme="majorHAnsi"/>
          <w:szCs w:val="24"/>
        </w:rPr>
        <w:t xml:space="preserve"> </w:t>
      </w:r>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580CC4" w:rsidRDefault="00580CC4" w:rsidP="00580CC4">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580CC4" w:rsidRDefault="00580CC4" w:rsidP="00580CC4">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580CC4" w:rsidRPr="00034030" w:rsidRDefault="00580CC4" w:rsidP="00580CC4">
      <w:pPr>
        <w:pStyle w:val="Standard"/>
        <w:widowControl w:val="0"/>
        <w:tabs>
          <w:tab w:val="left" w:pos="-14930"/>
          <w:tab w:val="left" w:pos="-13938"/>
        </w:tabs>
        <w:ind w:left="850"/>
        <w:jc w:val="both"/>
        <w:rPr>
          <w:rFonts w:asciiTheme="majorHAnsi" w:hAnsiTheme="majorHAnsi" w:cstheme="majorHAnsi"/>
          <w:szCs w:val="24"/>
        </w:rPr>
      </w:pPr>
    </w:p>
    <w:p w:rsidR="00580CC4" w:rsidRPr="00034030" w:rsidRDefault="00580CC4" w:rsidP="00580CC4">
      <w:pPr>
        <w:pStyle w:val="Standard"/>
        <w:widowControl w:val="0"/>
        <w:tabs>
          <w:tab w:val="left" w:pos="-31226"/>
          <w:tab w:val="left" w:pos="1140"/>
        </w:tabs>
        <w:ind w:left="454"/>
        <w:jc w:val="both"/>
        <w:rPr>
          <w:rFonts w:asciiTheme="majorHAnsi" w:hAnsiTheme="majorHAnsi" w:cstheme="majorHAnsi"/>
          <w:szCs w:val="24"/>
        </w:rPr>
      </w:pPr>
    </w:p>
    <w:p w:rsidR="00580CC4" w:rsidRPr="00034030" w:rsidRDefault="00580CC4" w:rsidP="00580CC4">
      <w:pPr>
        <w:pStyle w:val="Standard"/>
        <w:widowControl w:val="0"/>
        <w:tabs>
          <w:tab w:val="left" w:pos="-31226"/>
          <w:tab w:val="left" w:pos="1140"/>
        </w:tabs>
        <w:ind w:left="454"/>
        <w:jc w:val="both"/>
        <w:rPr>
          <w:rFonts w:asciiTheme="majorHAnsi" w:hAnsiTheme="majorHAnsi" w:cstheme="majorHAnsi"/>
          <w:szCs w:val="24"/>
        </w:rPr>
      </w:pPr>
    </w:p>
    <w:p w:rsidR="00D56780" w:rsidRPr="00034030" w:rsidRDefault="00D56780" w:rsidP="00D56780">
      <w:pPr>
        <w:pStyle w:val="Standard"/>
        <w:widowControl w:val="0"/>
        <w:tabs>
          <w:tab w:val="left" w:pos="-31226"/>
          <w:tab w:val="left" w:pos="1140"/>
        </w:tabs>
        <w:ind w:left="454"/>
        <w:jc w:val="both"/>
        <w:rPr>
          <w:rFonts w:asciiTheme="majorHAnsi" w:hAnsiTheme="majorHAnsi" w:cstheme="majorHAnsi"/>
          <w:szCs w:val="24"/>
        </w:rPr>
      </w:pPr>
    </w:p>
    <w:p w:rsidR="00CF6B4F" w:rsidRPr="00034030" w:rsidRDefault="00CF6B4F" w:rsidP="00D56780">
      <w:pPr>
        <w:pStyle w:val="Standard"/>
        <w:widowControl w:val="0"/>
        <w:tabs>
          <w:tab w:val="left" w:pos="-31226"/>
          <w:tab w:val="left" w:pos="1140"/>
        </w:tabs>
        <w:ind w:left="454"/>
        <w:jc w:val="both"/>
        <w:rPr>
          <w:rFonts w:asciiTheme="majorHAnsi" w:hAnsiTheme="majorHAnsi" w:cstheme="majorHAnsi"/>
          <w:szCs w:val="24"/>
        </w:rPr>
      </w:pPr>
    </w:p>
    <w:p w:rsidR="00545226" w:rsidRDefault="00545226">
      <w:pPr>
        <w:widowControl/>
        <w:suppressAutoHyphens w:val="0"/>
        <w:rPr>
          <w:rFonts w:asciiTheme="majorHAnsi" w:eastAsia="Tahoma" w:hAnsiTheme="majorHAnsi" w:cstheme="majorHAnsi"/>
          <w:b/>
          <w:bCs/>
          <w:kern w:val="3"/>
          <w:sz w:val="24"/>
          <w:szCs w:val="24"/>
        </w:rPr>
      </w:pPr>
      <w:r>
        <w:rPr>
          <w:rFonts w:asciiTheme="majorHAnsi" w:eastAsia="Tahoma" w:hAnsiTheme="majorHAnsi" w:cstheme="majorHAnsi"/>
          <w:b/>
          <w:bCs/>
          <w:szCs w:val="24"/>
        </w:rPr>
        <w:br w:type="page"/>
      </w:r>
    </w:p>
    <w:p w:rsidR="00C01F9A" w:rsidRDefault="00C01F9A" w:rsidP="008630C7">
      <w:pPr>
        <w:pStyle w:val="Standard"/>
        <w:widowControl w:val="0"/>
        <w:tabs>
          <w:tab w:val="left" w:pos="-31226"/>
          <w:tab w:val="left" w:pos="1140"/>
        </w:tabs>
        <w:ind w:left="45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2F288E">
        <w:rPr>
          <w:rFonts w:asciiTheme="majorHAnsi" w:hAnsiTheme="majorHAnsi" w:cstheme="majorHAnsi"/>
          <w:szCs w:val="24"/>
        </w:rPr>
        <w:t xml:space="preserve"> l’offerta tecnica 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757A4D">
        <w:rPr>
          <w:rFonts w:asciiTheme="majorHAnsi" w:hAnsiTheme="majorHAnsi" w:cstheme="majorHAnsi"/>
          <w:szCs w:val="24"/>
        </w:rPr>
        <w:t>del</w:t>
      </w:r>
      <w:r w:rsidRPr="00034030">
        <w:rPr>
          <w:rFonts w:asciiTheme="majorHAnsi" w:hAnsiTheme="majorHAnsi" w:cstheme="majorHAnsi"/>
          <w:szCs w:val="24"/>
        </w:rPr>
        <w:t xml:space="preserve"> Comune di </w:t>
      </w:r>
      <w:r w:rsidR="00580CC4">
        <w:rPr>
          <w:rFonts w:asciiTheme="majorHAnsi" w:hAnsiTheme="majorHAnsi" w:cstheme="majorHAnsi"/>
          <w:szCs w:val="24"/>
        </w:rPr>
        <w:t>Montecchio Emilia</w:t>
      </w:r>
      <w:r w:rsidR="00757A4D">
        <w:rPr>
          <w:rFonts w:asciiTheme="majorHAnsi" w:hAnsiTheme="majorHAnsi" w:cstheme="majorHAnsi"/>
          <w:szCs w:val="24"/>
        </w:rPr>
        <w:t xml:space="preserve"> (RE),</w:t>
      </w:r>
      <w:r w:rsidRPr="00034030">
        <w:rPr>
          <w:rFonts w:asciiTheme="majorHAnsi" w:hAnsiTheme="majorHAnsi" w:cstheme="majorHAnsi"/>
          <w:szCs w:val="24"/>
        </w:rPr>
        <w:t xml:space="preserve"> 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367698" w:rsidRDefault="00367698" w:rsidP="00367698">
      <w:pPr>
        <w:pStyle w:val="Standard"/>
        <w:tabs>
          <w:tab w:val="left" w:pos="567"/>
          <w:tab w:val="left" w:pos="1276"/>
        </w:tabs>
        <w:spacing w:line="276" w:lineRule="auto"/>
        <w:ind w:left="425"/>
        <w:jc w:val="both"/>
        <w:rPr>
          <w:rFonts w:asciiTheme="majorHAnsi" w:eastAsia="Tahoma" w:hAnsiTheme="majorHAnsi" w:cstheme="majorHAnsi"/>
          <w:szCs w:val="24"/>
        </w:rPr>
      </w:pPr>
      <w:r w:rsidRPr="00034030">
        <w:rPr>
          <w:rFonts w:asciiTheme="majorHAnsi" w:eastAsia="Tahoma" w:hAnsiTheme="majorHAnsi" w:cstheme="majorHAnsi"/>
          <w:b/>
          <w:bCs/>
          <w:szCs w:val="24"/>
        </w:rPr>
        <w:t>vi.</w:t>
      </w:r>
      <w:r w:rsidRPr="00034030">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d</w:t>
      </w:r>
      <w:r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Pr>
          <w:rFonts w:asciiTheme="majorHAnsi" w:eastAsia="Tahoma" w:hAnsiTheme="majorHAnsi" w:cstheme="majorHAnsi"/>
          <w:szCs w:val="24"/>
        </w:rPr>
        <w:t>Montecchio Emilia</w:t>
      </w:r>
      <w:r w:rsidRPr="008A4736">
        <w:rPr>
          <w:rFonts w:asciiTheme="majorHAnsi" w:eastAsia="Tahoma" w:hAnsiTheme="majorHAnsi" w:cstheme="majorHAnsi"/>
          <w:szCs w:val="24"/>
        </w:rPr>
        <w:t xml:space="preserve"> in data </w:t>
      </w:r>
      <w:r>
        <w:rPr>
          <w:rFonts w:asciiTheme="majorHAnsi" w:eastAsia="Tahoma" w:hAnsiTheme="majorHAnsi" w:cstheme="majorHAnsi"/>
          <w:szCs w:val="24"/>
        </w:rPr>
        <w:t>16/02/2012</w:t>
      </w:r>
      <w:r w:rsidRPr="008A4736">
        <w:rPr>
          <w:rFonts w:asciiTheme="majorHAnsi" w:eastAsia="Tahoma" w:hAnsiTheme="majorHAnsi" w:cstheme="majorHAnsi"/>
          <w:szCs w:val="24"/>
        </w:rPr>
        <w:t xml:space="preserve"> e reperibile al seguente collegamento:</w:t>
      </w:r>
      <w:r>
        <w:rPr>
          <w:rFonts w:asciiTheme="majorHAnsi" w:eastAsia="Tahoma" w:hAnsiTheme="majorHAnsi" w:cstheme="majorHAnsi"/>
          <w:szCs w:val="24"/>
        </w:rPr>
        <w:t xml:space="preserve"> </w:t>
      </w:r>
      <w:hyperlink r:id="rId10" w:history="1">
        <w:r w:rsidRPr="00D21F64">
          <w:rPr>
            <w:rStyle w:val="Collegamentoipertestuale"/>
          </w:rPr>
          <w:t>http://www.prefettura.it/FILES/AllegatiPag/1241/Comune_di_Montecchio_Emilia_-_lavori_pubblici_16-02-2012.pdf</w:t>
        </w:r>
      </w:hyperlink>
    </w:p>
    <w:p w:rsidR="00367698" w:rsidRDefault="00367698"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w:t>
      </w:r>
      <w:r w:rsidR="00367698">
        <w:rPr>
          <w:rFonts w:asciiTheme="majorHAnsi" w:hAnsiTheme="majorHAnsi" w:cstheme="majorHAnsi"/>
          <w:b/>
          <w:bCs/>
          <w:szCs w:val="24"/>
        </w:rPr>
        <w:t>i</w:t>
      </w:r>
      <w:r w:rsidRPr="00034030">
        <w:rPr>
          <w:rFonts w:asciiTheme="majorHAnsi" w:hAnsiTheme="majorHAnsi" w:cstheme="majorHAnsi"/>
          <w:b/>
          <w:bCs/>
          <w:szCs w:val="24"/>
        </w:rPr>
        <w:t>i.</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xml:space="preserve">] indica, ad integrazione di quanto indicato nella parte </w:t>
      </w:r>
      <w:r w:rsidRPr="00034030">
        <w:rPr>
          <w:rFonts w:asciiTheme="majorHAnsi" w:hAnsiTheme="majorHAnsi" w:cstheme="majorHAnsi"/>
          <w:szCs w:val="24"/>
        </w:rPr>
        <w:lastRenderedPageBreak/>
        <w:t>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8A4736" w:rsidRDefault="008A4736">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367698">
        <w:rPr>
          <w:rFonts w:asciiTheme="majorHAnsi" w:eastAsia="Tahoma" w:hAnsiTheme="majorHAnsi" w:cstheme="majorHAnsi"/>
          <w:b/>
          <w:bCs/>
          <w:szCs w:val="24"/>
        </w:rPr>
        <w:t>i</w:t>
      </w:r>
      <w:r w:rsidR="00975B4C">
        <w:rPr>
          <w:rFonts w:asciiTheme="majorHAnsi" w:eastAsia="Tahoma" w:hAnsiTheme="majorHAnsi" w:cstheme="majorHAnsi"/>
          <w:b/>
          <w:bCs/>
          <w:szCs w:val="24"/>
        </w:rPr>
        <w:t>i</w:t>
      </w:r>
      <w:r w:rsidRPr="00034030">
        <w:rPr>
          <w:rFonts w:asciiTheme="majorHAnsi" w:eastAsia="Tahoma" w:hAnsiTheme="majorHAnsi" w:cstheme="majorHAnsi"/>
          <w:b/>
          <w:bCs/>
          <w:szCs w:val="24"/>
        </w:rPr>
        <w:t>i.</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757A4D">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bCs/>
        </w:rPr>
        <w:t>i</w:t>
      </w:r>
      <w:r w:rsidR="00367698">
        <w:rPr>
          <w:rFonts w:asciiTheme="majorHAnsi" w:hAnsiTheme="majorHAnsi" w:cstheme="majorHAnsi"/>
          <w:b/>
          <w:bCs/>
        </w:rPr>
        <w:t>x</w:t>
      </w:r>
      <w:r w:rsidR="004A5C0D" w:rsidRPr="00034030">
        <w:rPr>
          <w:rFonts w:asciiTheme="majorHAnsi" w:hAnsiTheme="majorHAnsi" w:cstheme="majorHAnsi"/>
          <w:bCs/>
        </w:rPr>
        <w:t>.</w:t>
      </w:r>
      <w:r w:rsidR="004A5C0D" w:rsidRPr="00034030">
        <w:rPr>
          <w:rFonts w:asciiTheme="majorHAnsi" w:hAnsiTheme="majorHAnsi" w:cstheme="majorHAnsi"/>
          <w:b/>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004A5C0D" w:rsidRPr="00034030">
        <w:rPr>
          <w:rFonts w:asciiTheme="majorHAnsi" w:hAnsiTheme="majorHAnsi" w:cstheme="majorHAnsi"/>
        </w:rPr>
        <w:t xml:space="preserve">di </w:t>
      </w:r>
      <w:r w:rsidR="00975B4C" w:rsidRPr="00975B4C">
        <w:rPr>
          <w:rFonts w:asciiTheme="majorHAnsi" w:hAnsiTheme="majorHAnsi" w:cstheme="majorHAnsi"/>
        </w:rPr>
        <w:t xml:space="preserve">aver </w:t>
      </w:r>
      <w:r w:rsidR="00975B4C" w:rsidRPr="00685269">
        <w:rPr>
          <w:rFonts w:asciiTheme="majorHAnsi" w:hAnsiTheme="majorHAnsi" w:cstheme="majorHAnsi"/>
        </w:rPr>
        <w:t>effettuato il sopralluogo obbligatorio</w:t>
      </w:r>
      <w:r w:rsidR="00975B4C" w:rsidRPr="00975B4C">
        <w:rPr>
          <w:rFonts w:asciiTheme="majorHAnsi" w:hAnsiTheme="majorHAnsi" w:cstheme="majorHAnsi"/>
        </w:rPr>
        <w:t xml:space="preserve"> e di allegare la relativa attestazione rilasciata </w:t>
      </w:r>
      <w:r w:rsidR="005109F6">
        <w:rPr>
          <w:rFonts w:asciiTheme="majorHAnsi" w:hAnsiTheme="majorHAnsi" w:cstheme="majorHAnsi"/>
        </w:rPr>
        <w:t xml:space="preserve">dal Comune di </w:t>
      </w:r>
      <w:r w:rsidR="00580CC4">
        <w:rPr>
          <w:rFonts w:asciiTheme="majorHAnsi" w:hAnsiTheme="majorHAnsi" w:cstheme="majorHAnsi"/>
        </w:rPr>
        <w:t>Montecchio Emilia</w:t>
      </w:r>
      <w:r w:rsidR="005109F6">
        <w:rPr>
          <w:rFonts w:asciiTheme="majorHAnsi" w:hAnsiTheme="majorHAnsi" w:cstheme="majorHAnsi"/>
        </w:rPr>
        <w:t xml:space="preserve"> (RE)</w:t>
      </w:r>
      <w:r w:rsidR="004A5C0D" w:rsidRPr="00034030">
        <w:rPr>
          <w:rFonts w:asciiTheme="majorHAnsi" w:hAnsiTheme="majorHAnsi" w:cstheme="majorHAnsi"/>
        </w:rPr>
        <w:t>:</w:t>
      </w:r>
    </w:p>
    <w:p w:rsidR="00CF6B4F" w:rsidRDefault="00975B4C">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x</w:t>
      </w:r>
      <w:r w:rsidR="00367698">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367698">
        <w:rPr>
          <w:rFonts w:asciiTheme="majorHAnsi" w:hAnsiTheme="majorHAnsi" w:cstheme="majorHAnsi"/>
          <w:b/>
          <w:szCs w:val="24"/>
        </w:rPr>
        <w:t>i</w:t>
      </w:r>
      <w:r>
        <w:rPr>
          <w:rFonts w:asciiTheme="majorHAnsi" w:hAnsiTheme="majorHAnsi" w:cstheme="majorHAnsi"/>
          <w:b/>
          <w:szCs w:val="24"/>
        </w:rPr>
        <w:t xml:space="preserve">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367698">
        <w:rPr>
          <w:rFonts w:asciiTheme="majorHAnsi" w:hAnsiTheme="majorHAnsi" w:cstheme="majorHAnsi"/>
          <w:b/>
          <w:szCs w:val="24"/>
        </w:rPr>
        <w:t>i</w:t>
      </w:r>
      <w:r>
        <w:rPr>
          <w:rFonts w:asciiTheme="majorHAnsi" w:hAnsiTheme="majorHAnsi" w:cstheme="majorHAnsi"/>
          <w:b/>
          <w:szCs w:val="24"/>
        </w:rPr>
        <w:t xml:space="preserve">ii.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B2E11" w:rsidRDefault="00EB2E11">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5" w:name="_Hlk529260074"/>
      <w:r w:rsidR="00306397">
        <w:rPr>
          <w:rFonts w:asciiTheme="majorHAnsi" w:hAnsiTheme="majorHAnsi" w:cstheme="majorHAnsi"/>
          <w:sz w:val="24"/>
          <w:szCs w:val="24"/>
        </w:rPr>
        <w:t>____________________________</w:t>
      </w:r>
      <w:bookmarkEnd w:id="15"/>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A pena di esclusione l’allegato 2</w:t>
      </w:r>
      <w:r w:rsidR="00FF12AC">
        <w:rPr>
          <w:rFonts w:asciiTheme="majorHAnsi" w:hAnsiTheme="majorHAnsi" w:cs="Tahoma"/>
        </w:rPr>
        <w:t>BIS</w:t>
      </w:r>
      <w:r w:rsidRPr="00FA2E55">
        <w:rPr>
          <w:rFonts w:asciiTheme="majorHAnsi" w:hAnsiTheme="majorHAnsi" w:cs="Tahoma"/>
        </w:rPr>
        <w:t xml:space="preserve">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6B20B8" w:rsidRPr="002B16CB" w:rsidRDefault="006B20B8" w:rsidP="006B20B8">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6031"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4" w15:restartNumberingAfterBreak="0">
    <w:nsid w:val="7D613F47"/>
    <w:multiLevelType w:val="hybridMultilevel"/>
    <w:tmpl w:val="934A0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8"/>
  </w:num>
  <w:num w:numId="5">
    <w:abstractNumId w:val="6"/>
  </w:num>
  <w:num w:numId="6">
    <w:abstractNumId w:val="10"/>
  </w:num>
  <w:num w:numId="7">
    <w:abstractNumId w:val="5"/>
  </w:num>
  <w:num w:numId="8">
    <w:abstractNumId w:val="1"/>
  </w:num>
  <w:num w:numId="9">
    <w:abstractNumId w:val="4"/>
  </w:num>
  <w:num w:numId="10">
    <w:abstractNumId w:val="12"/>
  </w:num>
  <w:num w:numId="11">
    <w:abstractNumId w:val="11"/>
  </w:num>
  <w:num w:numId="12">
    <w:abstractNumId w:val="2"/>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6389A"/>
    <w:rsid w:val="00081E0A"/>
    <w:rsid w:val="00091011"/>
    <w:rsid w:val="000A1BAE"/>
    <w:rsid w:val="000A74D4"/>
    <w:rsid w:val="000F07AE"/>
    <w:rsid w:val="00144610"/>
    <w:rsid w:val="0015468F"/>
    <w:rsid w:val="001921EC"/>
    <w:rsid w:val="001B453B"/>
    <w:rsid w:val="00211263"/>
    <w:rsid w:val="0022539D"/>
    <w:rsid w:val="002A2F7D"/>
    <w:rsid w:val="002B16CB"/>
    <w:rsid w:val="002F288E"/>
    <w:rsid w:val="00306397"/>
    <w:rsid w:val="00322049"/>
    <w:rsid w:val="0034687B"/>
    <w:rsid w:val="00356853"/>
    <w:rsid w:val="00367698"/>
    <w:rsid w:val="0037406F"/>
    <w:rsid w:val="003A3044"/>
    <w:rsid w:val="003C6766"/>
    <w:rsid w:val="003D04B2"/>
    <w:rsid w:val="003F2310"/>
    <w:rsid w:val="00457314"/>
    <w:rsid w:val="004A5C0D"/>
    <w:rsid w:val="004B67EA"/>
    <w:rsid w:val="004B7853"/>
    <w:rsid w:val="004C76E7"/>
    <w:rsid w:val="005109F6"/>
    <w:rsid w:val="005356FF"/>
    <w:rsid w:val="00545226"/>
    <w:rsid w:val="0055250E"/>
    <w:rsid w:val="00566901"/>
    <w:rsid w:val="00580CC4"/>
    <w:rsid w:val="005B7DC4"/>
    <w:rsid w:val="006678F9"/>
    <w:rsid w:val="00685269"/>
    <w:rsid w:val="00693BF8"/>
    <w:rsid w:val="006963B7"/>
    <w:rsid w:val="006B20B8"/>
    <w:rsid w:val="006B3ADA"/>
    <w:rsid w:val="00725212"/>
    <w:rsid w:val="00732D4B"/>
    <w:rsid w:val="00757A4D"/>
    <w:rsid w:val="007608E8"/>
    <w:rsid w:val="007A461E"/>
    <w:rsid w:val="008101FA"/>
    <w:rsid w:val="00820572"/>
    <w:rsid w:val="008630C7"/>
    <w:rsid w:val="00865002"/>
    <w:rsid w:val="008A377F"/>
    <w:rsid w:val="008A4736"/>
    <w:rsid w:val="008F391D"/>
    <w:rsid w:val="00917591"/>
    <w:rsid w:val="0092393A"/>
    <w:rsid w:val="00975B4C"/>
    <w:rsid w:val="009F0BA5"/>
    <w:rsid w:val="009F5919"/>
    <w:rsid w:val="00A1143C"/>
    <w:rsid w:val="00AC49E4"/>
    <w:rsid w:val="00AC4A47"/>
    <w:rsid w:val="00AC659A"/>
    <w:rsid w:val="00AD292B"/>
    <w:rsid w:val="00B06555"/>
    <w:rsid w:val="00B22C1A"/>
    <w:rsid w:val="00B2546F"/>
    <w:rsid w:val="00B35EA2"/>
    <w:rsid w:val="00B50BEC"/>
    <w:rsid w:val="00B56141"/>
    <w:rsid w:val="00BF15F8"/>
    <w:rsid w:val="00C01F9A"/>
    <w:rsid w:val="00C260E1"/>
    <w:rsid w:val="00C53D46"/>
    <w:rsid w:val="00C766A0"/>
    <w:rsid w:val="00CA25CF"/>
    <w:rsid w:val="00CF6B4F"/>
    <w:rsid w:val="00D373AD"/>
    <w:rsid w:val="00D40F5F"/>
    <w:rsid w:val="00D56780"/>
    <w:rsid w:val="00DE1CF9"/>
    <w:rsid w:val="00E039D9"/>
    <w:rsid w:val="00E365F0"/>
    <w:rsid w:val="00E44293"/>
    <w:rsid w:val="00E91B03"/>
    <w:rsid w:val="00EA4926"/>
    <w:rsid w:val="00EB2E11"/>
    <w:rsid w:val="00EF6748"/>
    <w:rsid w:val="00F53E70"/>
    <w:rsid w:val="00F932C1"/>
    <w:rsid w:val="00FA124F"/>
    <w:rsid w:val="00FA2E55"/>
    <w:rsid w:val="00FA3B81"/>
    <w:rsid w:val="00FB2F00"/>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1377"/>
  <w15:docId w15:val="{EF9557D1-D4E4-48A3-AEF9-9B40BECA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link w:val="Titolo6Caratter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customStyle="1" w:styleId="Titolo6Carattere">
    <w:name w:val="Titolo 6 Carattere"/>
    <w:basedOn w:val="Carpredefinitoparagrafo"/>
    <w:link w:val="Titolo6"/>
    <w:uiPriority w:val="9"/>
    <w:rsid w:val="00D40F5F"/>
    <w:rPr>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fettura.it/FILES/AllegatiPag/1241/Comune_di_Montecchio_Emilia_-_lavori_pubblici_16-02-2012.pdf" TargetMode="Externa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FCAAD-03FE-4BA1-86A9-29C2A079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9</Pages>
  <Words>3029</Words>
  <Characters>17269</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70</cp:revision>
  <cp:lastPrinted>2018-12-07T12:02:00Z</cp:lastPrinted>
  <dcterms:created xsi:type="dcterms:W3CDTF">2018-11-05T12:51:00Z</dcterms:created>
  <dcterms:modified xsi:type="dcterms:W3CDTF">2019-06-20T13:28:00Z</dcterms:modified>
</cp:coreProperties>
</file>