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E31016">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F44B23" w:rsidRPr="00F44B23" w:rsidRDefault="00F44B23" w:rsidP="00F44B23">
      <w:pPr>
        <w:autoSpaceDE w:val="0"/>
        <w:ind w:left="360"/>
        <w:jc w:val="center"/>
        <w:rPr>
          <w:rFonts w:asciiTheme="majorHAnsi" w:hAnsiTheme="majorHAnsi" w:cstheme="majorHAnsi"/>
          <w:b/>
          <w:bCs/>
          <w:sz w:val="22"/>
        </w:rPr>
      </w:pPr>
      <w:bookmarkStart w:id="6" w:name="OLE_LINK9"/>
      <w:bookmarkStart w:id="7" w:name="OLE_LINK21"/>
      <w:bookmarkStart w:id="8" w:name="OLE_LINK2"/>
      <w:bookmarkEnd w:id="0"/>
      <w:bookmarkEnd w:id="1"/>
      <w:bookmarkEnd w:id="3"/>
      <w:bookmarkEnd w:id="4"/>
      <w:bookmarkEnd w:id="5"/>
      <w:r w:rsidRPr="00F44B23">
        <w:rPr>
          <w:rFonts w:asciiTheme="majorHAnsi" w:hAnsiTheme="majorHAnsi" w:cstheme="majorHAnsi"/>
          <w:b/>
          <w:bCs/>
          <w:sz w:val="22"/>
        </w:rPr>
        <w:t>PROCEDURA APERTA AI SENSI DELL’ART. 60 DEL D.LGS 50/2016 PER L’AFFIDAMENTO DEI LAVORI DI CONSOLIDAMENTO STATICO, MIGLIORAMENTO DEI LIVELLI DI SICUREZZA SISMICI E L’EFFICIENTAMENTO ENERGETICO DELLA SCUOLA ELEMENTARE “I.CALVINO” SITA NEL COMUNE DI SANT’ILARIO D’ENZA (RE).</w:t>
      </w:r>
    </w:p>
    <w:bookmarkEnd w:id="6"/>
    <w:p w:rsidR="00F44B23" w:rsidRPr="00F44B23" w:rsidRDefault="00F44B23" w:rsidP="00F44B23">
      <w:pPr>
        <w:autoSpaceDE w:val="0"/>
        <w:ind w:left="360"/>
        <w:jc w:val="center"/>
        <w:rPr>
          <w:rFonts w:asciiTheme="majorHAnsi" w:hAnsiTheme="majorHAnsi" w:cstheme="majorHAnsi"/>
          <w:b/>
          <w:bCs/>
          <w:sz w:val="22"/>
        </w:rPr>
      </w:pPr>
    </w:p>
    <w:p w:rsidR="00F44B23" w:rsidRPr="00F44B23" w:rsidRDefault="00F44B23" w:rsidP="00F44B23">
      <w:pPr>
        <w:autoSpaceDE w:val="0"/>
        <w:ind w:left="360"/>
        <w:jc w:val="center"/>
        <w:rPr>
          <w:rFonts w:asciiTheme="majorHAnsi" w:hAnsiTheme="majorHAnsi" w:cstheme="majorHAnsi"/>
          <w:b/>
          <w:bCs/>
          <w:sz w:val="22"/>
        </w:rPr>
      </w:pPr>
      <w:r w:rsidRPr="00F44B23">
        <w:rPr>
          <w:rFonts w:asciiTheme="majorHAnsi" w:hAnsiTheme="majorHAnsi" w:cstheme="majorHAnsi"/>
          <w:b/>
          <w:bCs/>
          <w:sz w:val="22"/>
        </w:rPr>
        <w:t>CIG 7942311A5E - CUP C51I1800021000</w:t>
      </w:r>
      <w:r w:rsidR="00E31016">
        <w:rPr>
          <w:rFonts w:asciiTheme="majorHAnsi" w:hAnsiTheme="majorHAnsi" w:cstheme="majorHAnsi"/>
          <w:b/>
          <w:bCs/>
          <w:sz w:val="22"/>
        </w:rPr>
        <w:t>5</w:t>
      </w:r>
    </w:p>
    <w:p w:rsidR="003D5073" w:rsidRPr="00290AD5" w:rsidRDefault="003D5073">
      <w:pPr>
        <w:pStyle w:val="Titolo6"/>
        <w:ind w:left="360" w:right="0"/>
        <w:rPr>
          <w:rFonts w:asciiTheme="majorHAnsi" w:eastAsia="Arial Unicode MS" w:hAnsiTheme="majorHAnsi" w:cstheme="majorHAnsi"/>
          <w:b w:val="0"/>
          <w:bCs/>
          <w:sz w:val="24"/>
          <w:szCs w:val="24"/>
        </w:rPr>
      </w:pPr>
    </w:p>
    <w:p w:rsidR="003D5073" w:rsidRPr="00290AD5" w:rsidRDefault="003D5073">
      <w:pPr>
        <w:rPr>
          <w:rFonts w:asciiTheme="majorHAnsi" w:eastAsia="Arial Unicode MS" w:hAnsiTheme="majorHAnsi" w:cstheme="majorHAnsi"/>
          <w:sz w:val="24"/>
          <w:szCs w:val="24"/>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9"/>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w:lastRenderedPageBreak/>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 xml:space="preserve">Allegare la documentazione di cui al punto 16.10 del </w:t>
      </w:r>
      <w:r w:rsidR="00E67498">
        <w:rPr>
          <w:rFonts w:asciiTheme="majorHAnsi" w:eastAsia="Tahoma" w:hAnsiTheme="majorHAnsi" w:cstheme="majorHAnsi"/>
          <w:szCs w:val="24"/>
        </w:rPr>
        <w:t>Bando</w:t>
      </w:r>
      <w:r w:rsidR="003430A2">
        <w:rPr>
          <w:rFonts w:asciiTheme="majorHAnsi" w:eastAsia="Tahoma" w:hAnsiTheme="majorHAnsi" w:cstheme="majorHAnsi"/>
          <w:szCs w:val="24"/>
        </w:rPr>
        <w:t xml:space="preserve"> di </w:t>
      </w:r>
      <w:r w:rsidR="00E67498">
        <w:rPr>
          <w:rFonts w:asciiTheme="majorHAnsi" w:eastAsia="Tahoma" w:hAnsiTheme="majorHAnsi" w:cstheme="majorHAnsi"/>
          <w:szCs w:val="24"/>
        </w:rPr>
        <w:t>Gara</w:t>
      </w:r>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16.10 </w:t>
      </w:r>
      <w:r w:rsidR="00E67498">
        <w:rPr>
          <w:rFonts w:asciiTheme="majorHAnsi" w:eastAsia="Tahoma" w:hAnsiTheme="majorHAnsi" w:cstheme="majorHAnsi"/>
          <w:szCs w:val="24"/>
        </w:rPr>
        <w:t>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16.10 </w:t>
      </w:r>
      <w:r w:rsidR="00E67498">
        <w:rPr>
          <w:rFonts w:asciiTheme="majorHAnsi" w:eastAsia="Tahoma" w:hAnsiTheme="majorHAnsi" w:cstheme="majorHAnsi"/>
          <w:szCs w:val="24"/>
        </w:rPr>
        <w:t>del Bando di Gara</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w:t>
      </w:r>
      <w:r w:rsidR="00E67498">
        <w:rPr>
          <w:rFonts w:asciiTheme="majorHAnsi" w:eastAsia="Tahoma" w:hAnsiTheme="majorHAnsi" w:cstheme="majorHAnsi"/>
          <w:szCs w:val="24"/>
        </w:rPr>
        <w:t>del Bando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16.10 </w:t>
      </w:r>
      <w:r w:rsidR="00E67498">
        <w:rPr>
          <w:rFonts w:asciiTheme="majorHAnsi" w:eastAsia="Tahoma" w:hAnsiTheme="majorHAnsi" w:cstheme="majorHAnsi"/>
          <w:szCs w:val="24"/>
        </w:rPr>
        <w:t>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w:t>
      </w:r>
      <w:r w:rsidR="00E67498">
        <w:rPr>
          <w:rFonts w:asciiTheme="majorHAnsi" w:eastAsia="Tahoma" w:hAnsiTheme="majorHAnsi" w:cstheme="majorHAnsi"/>
          <w:szCs w:val="24"/>
        </w:rPr>
        <w:t>del Bando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 xml:space="preserve">Allegare la documentazione di cui al punto 16.10 </w:t>
      </w:r>
      <w:r w:rsidR="00E67498">
        <w:rPr>
          <w:rFonts w:asciiTheme="majorHAnsi" w:eastAsia="Tahoma" w:hAnsiTheme="majorHAnsi" w:cstheme="majorHAnsi"/>
          <w:szCs w:val="24"/>
        </w:rPr>
        <w:t>del Bando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16.10 </w:t>
      </w:r>
      <w:r w:rsidR="00E67498">
        <w:rPr>
          <w:rFonts w:asciiTheme="majorHAnsi" w:eastAsia="Tahoma" w:hAnsiTheme="majorHAnsi" w:cstheme="majorHAnsi"/>
          <w:szCs w:val="24"/>
        </w:rPr>
        <w:t>del Bando di Gara</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E67498">
        <w:rPr>
          <w:rFonts w:asciiTheme="majorHAnsi" w:hAnsiTheme="majorHAnsi" w:cstheme="majorHAnsi"/>
          <w:sz w:val="24"/>
          <w:szCs w:val="24"/>
        </w:rPr>
        <w:t>aper</w:t>
      </w:r>
      <w:bookmarkStart w:id="10" w:name="_GoBack"/>
      <w:bookmarkEnd w:id="10"/>
      <w:r w:rsidR="009C0746">
        <w:rPr>
          <w:rFonts w:asciiTheme="majorHAnsi" w:hAnsiTheme="majorHAnsi" w:cstheme="majorHAnsi"/>
          <w:sz w:val="24"/>
          <w:szCs w:val="24"/>
        </w:rPr>
        <w:t xml:space="preserve">ta per l’affidamento dei lavori </w:t>
      </w:r>
      <w:r w:rsidR="003626A1">
        <w:rPr>
          <w:rFonts w:asciiTheme="majorHAnsi" w:hAnsiTheme="majorHAnsi" w:cstheme="majorHAnsi"/>
          <w:sz w:val="24"/>
          <w:szCs w:val="24"/>
        </w:rPr>
        <w:t>consolidamento statico, miglioramento dei livelli di sicurezza sismici e l’efficientamento energetico della scuola elementare “I.Calvino” sita nel Comune di Sant’Ilario d’Enza (RE)</w:t>
      </w:r>
      <w:r w:rsidR="00DC7AED" w:rsidRPr="00DC7AED">
        <w:rPr>
          <w:rFonts w:asciiTheme="majorHAnsi" w:hAnsiTheme="majorHAnsi" w:cstheme="majorHAnsi"/>
          <w:sz w:val="24"/>
          <w:szCs w:val="24"/>
        </w:rPr>
        <w:t>.</w:t>
      </w:r>
      <w:r w:rsidRPr="00290AD5">
        <w:rPr>
          <w:rFonts w:asciiTheme="majorHAnsi" w:hAnsiTheme="majorHAnsi" w:cstheme="majorHAnsi"/>
          <w:sz w:val="24"/>
          <w:szCs w:val="24"/>
        </w:rPr>
        <w:t xml:space="preserve">CIG: </w:t>
      </w:r>
      <w:r w:rsidR="003626A1">
        <w:rPr>
          <w:rFonts w:asciiTheme="majorHAnsi" w:hAnsiTheme="majorHAnsi" w:cstheme="majorHAnsi"/>
          <w:sz w:val="24"/>
          <w:szCs w:val="24"/>
        </w:rPr>
        <w:t>7942311A5E</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del d.l.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d.l.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E67498"/>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E6749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366DA"/>
    <w:rsid w:val="00144225"/>
    <w:rsid w:val="00264FAB"/>
    <w:rsid w:val="00290AD5"/>
    <w:rsid w:val="002C7782"/>
    <w:rsid w:val="003430A2"/>
    <w:rsid w:val="003626A1"/>
    <w:rsid w:val="003D5073"/>
    <w:rsid w:val="00435ADF"/>
    <w:rsid w:val="004A5295"/>
    <w:rsid w:val="005B37C8"/>
    <w:rsid w:val="00607ECA"/>
    <w:rsid w:val="00704B00"/>
    <w:rsid w:val="009213CF"/>
    <w:rsid w:val="00971E59"/>
    <w:rsid w:val="009C0746"/>
    <w:rsid w:val="00A9576B"/>
    <w:rsid w:val="00BF611F"/>
    <w:rsid w:val="00C24418"/>
    <w:rsid w:val="00D550F8"/>
    <w:rsid w:val="00D762AD"/>
    <w:rsid w:val="00D974C9"/>
    <w:rsid w:val="00DB78F3"/>
    <w:rsid w:val="00DC7AED"/>
    <w:rsid w:val="00E253EE"/>
    <w:rsid w:val="00E31016"/>
    <w:rsid w:val="00E67498"/>
    <w:rsid w:val="00F05783"/>
    <w:rsid w:val="00F44B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A0D4"/>
  <w15:docId w15:val="{FB17602C-9F39-47D4-ACDB-88E87B5C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1109</Words>
  <Characters>6327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27</cp:revision>
  <cp:lastPrinted>2016-10-12T09:37:00Z</cp:lastPrinted>
  <dcterms:created xsi:type="dcterms:W3CDTF">2018-11-05T12:05:00Z</dcterms:created>
  <dcterms:modified xsi:type="dcterms:W3CDTF">2019-06-21T07:05:00Z</dcterms:modified>
</cp:coreProperties>
</file>